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C1AE5">
        <w:trPr>
          <w:tblCellSpacing w:w="60" w:type="dxa"/>
        </w:trPr>
        <w:tc>
          <w:tcPr>
            <w:tcW w:w="1200" w:type="pct"/>
            <w:shd w:val="clear" w:color="auto" w:fill="E7F0F9"/>
          </w:tcPr>
          <w:p w:rsidR="00FC1AE5" w:rsidRDefault="006D147C">
            <w:pPr>
              <w:spacing w:after="0" w:line="240" w:lineRule="auto"/>
            </w:pPr>
            <w:r>
              <w:rPr>
                <w:b/>
              </w:rPr>
              <w:t>RKP broj</w:t>
            </w:r>
          </w:p>
        </w:tc>
        <w:tc>
          <w:tcPr>
            <w:tcW w:w="0" w:type="auto"/>
            <w:shd w:val="clear" w:color="auto" w:fill="E7F0F9"/>
          </w:tcPr>
          <w:p w:rsidR="00FC1AE5" w:rsidRDefault="006D147C">
            <w:pPr>
              <w:spacing w:after="0" w:line="240" w:lineRule="auto"/>
            </w:pPr>
            <w:r>
              <w:t>27749</w:t>
            </w:r>
          </w:p>
        </w:tc>
      </w:tr>
      <w:tr w:rsidR="00FC1AE5">
        <w:trPr>
          <w:tblCellSpacing w:w="60" w:type="dxa"/>
        </w:trPr>
        <w:tc>
          <w:tcPr>
            <w:tcW w:w="1200" w:type="pct"/>
            <w:shd w:val="clear" w:color="auto" w:fill="E7F0F9"/>
          </w:tcPr>
          <w:p w:rsidR="00FC1AE5" w:rsidRDefault="006D147C">
            <w:pPr>
              <w:spacing w:after="0" w:line="240" w:lineRule="auto"/>
            </w:pPr>
            <w:r>
              <w:rPr>
                <w:b/>
              </w:rPr>
              <w:t>Naziv obveznika</w:t>
            </w:r>
          </w:p>
        </w:tc>
        <w:tc>
          <w:tcPr>
            <w:tcW w:w="0" w:type="auto"/>
            <w:shd w:val="clear" w:color="auto" w:fill="E7F0F9"/>
          </w:tcPr>
          <w:p w:rsidR="00FC1AE5" w:rsidRDefault="006D147C">
            <w:pPr>
              <w:spacing w:after="0" w:line="240" w:lineRule="auto"/>
            </w:pPr>
            <w:r>
              <w:t>ZAVOD ZA JAVNO ZDRAVSTVO LIČKO-SENJSKE ŽUPANIJE</w:t>
            </w:r>
          </w:p>
        </w:tc>
      </w:tr>
      <w:tr w:rsidR="00FC1AE5">
        <w:trPr>
          <w:tblCellSpacing w:w="60" w:type="dxa"/>
        </w:trPr>
        <w:tc>
          <w:tcPr>
            <w:tcW w:w="1200" w:type="pct"/>
            <w:shd w:val="clear" w:color="auto" w:fill="E7F0F9"/>
          </w:tcPr>
          <w:p w:rsidR="00FC1AE5" w:rsidRDefault="006D147C">
            <w:pPr>
              <w:spacing w:after="0" w:line="240" w:lineRule="auto"/>
            </w:pPr>
            <w:r>
              <w:rPr>
                <w:b/>
              </w:rPr>
              <w:t>Razina</w:t>
            </w:r>
          </w:p>
        </w:tc>
        <w:tc>
          <w:tcPr>
            <w:tcW w:w="0" w:type="auto"/>
            <w:shd w:val="clear" w:color="auto" w:fill="E7F0F9"/>
          </w:tcPr>
          <w:p w:rsidR="00FC1AE5" w:rsidRDefault="006D147C">
            <w:pPr>
              <w:spacing w:after="0" w:line="240" w:lineRule="auto"/>
            </w:pPr>
            <w:r>
              <w:t>31</w:t>
            </w:r>
          </w:p>
        </w:tc>
      </w:tr>
    </w:tbl>
    <w:p w:rsidR="00FC1AE5" w:rsidRDefault="006D147C">
      <w:r>
        <w:br/>
      </w:r>
    </w:p>
    <w:p w:rsidR="00FC1AE5" w:rsidRDefault="006D147C">
      <w:pPr>
        <w:spacing w:line="240" w:lineRule="auto"/>
        <w:jc w:val="center"/>
      </w:pPr>
      <w:r>
        <w:rPr>
          <w:b/>
          <w:sz w:val="28"/>
        </w:rPr>
        <w:t>BILJEŠKE UZ FINANCIJSKE IZVJEŠTAJE</w:t>
      </w:r>
    </w:p>
    <w:p w:rsidR="00FC1AE5" w:rsidRDefault="006D147C">
      <w:pPr>
        <w:spacing w:line="240" w:lineRule="auto"/>
        <w:jc w:val="center"/>
      </w:pPr>
      <w:r>
        <w:rPr>
          <w:b/>
          <w:sz w:val="28"/>
        </w:rPr>
        <w:t>ZA RAZDOBLJE</w:t>
      </w:r>
    </w:p>
    <w:p w:rsidR="00FC1AE5" w:rsidRDefault="006D147C">
      <w:pPr>
        <w:spacing w:line="240" w:lineRule="auto"/>
        <w:jc w:val="center"/>
      </w:pPr>
      <w:r>
        <w:rPr>
          <w:b/>
          <w:sz w:val="28"/>
        </w:rPr>
        <w:t>I - XII 2025.</w:t>
      </w:r>
    </w:p>
    <w:p w:rsidR="00FC1AE5" w:rsidRDefault="00FC1AE5"/>
    <w:p w:rsidR="00FC1AE5" w:rsidRDefault="006D147C">
      <w:pPr>
        <w:keepNext/>
        <w:spacing w:line="240" w:lineRule="auto"/>
        <w:jc w:val="center"/>
      </w:pPr>
      <w:r>
        <w:rPr>
          <w:b/>
          <w:sz w:val="28"/>
        </w:rPr>
        <w:t>Izvještaj o prihodima i rashodima, primicima i izdacima</w:t>
      </w:r>
    </w:p>
    <w:p w:rsidR="00FC1AE5" w:rsidRDefault="006D147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w:t>
            </w:r>
          </w:p>
        </w:tc>
        <w:tc>
          <w:tcPr>
            <w:tcW w:w="3180" w:type="dxa"/>
            <w:tcMar>
              <w:top w:w="0" w:type="dxa"/>
              <w:bottom w:w="0" w:type="dxa"/>
            </w:tcMar>
            <w:vAlign w:val="center"/>
          </w:tcPr>
          <w:p w:rsidR="00FC1AE5" w:rsidRDefault="006D147C">
            <w:pPr>
              <w:keepNext/>
              <w:keepLines/>
              <w:spacing w:after="0" w:line="240" w:lineRule="auto"/>
            </w:pPr>
            <w:r>
              <w:rPr>
                <w:sz w:val="18"/>
              </w:rPr>
              <w:t>PRIHODI POSLOVANJA (šifre 61+62+63+64+65+66+67+68)</w:t>
            </w:r>
          </w:p>
        </w:tc>
        <w:tc>
          <w:tcPr>
            <w:tcW w:w="700" w:type="dxa"/>
            <w:tcMar>
              <w:top w:w="0" w:type="dxa"/>
              <w:bottom w:w="0" w:type="dxa"/>
            </w:tcMar>
            <w:vAlign w:val="center"/>
          </w:tcPr>
          <w:p w:rsidR="00FC1AE5" w:rsidRDefault="006D147C">
            <w:pPr>
              <w:keepNext/>
              <w:keepLines/>
              <w:spacing w:after="0" w:line="240" w:lineRule="auto"/>
            </w:pPr>
            <w:r>
              <w:rPr>
                <w:sz w:val="18"/>
              </w:rPr>
              <w:t>6</w:t>
            </w:r>
          </w:p>
        </w:tc>
        <w:tc>
          <w:tcPr>
            <w:tcW w:w="1860" w:type="dxa"/>
            <w:tcMar>
              <w:top w:w="0" w:type="dxa"/>
              <w:bottom w:w="0" w:type="dxa"/>
            </w:tcMar>
            <w:vAlign w:val="center"/>
          </w:tcPr>
          <w:p w:rsidR="00FC1AE5" w:rsidRDefault="006D147C">
            <w:pPr>
              <w:keepNext/>
              <w:keepLines/>
              <w:spacing w:after="0" w:line="240" w:lineRule="auto"/>
              <w:jc w:val="right"/>
            </w:pPr>
            <w:r>
              <w:rPr>
                <w:sz w:val="18"/>
              </w:rPr>
              <w:t>1.603.065,71</w:t>
            </w:r>
          </w:p>
        </w:tc>
        <w:tc>
          <w:tcPr>
            <w:tcW w:w="1860" w:type="dxa"/>
            <w:tcMar>
              <w:top w:w="0" w:type="dxa"/>
              <w:bottom w:w="0" w:type="dxa"/>
            </w:tcMar>
            <w:vAlign w:val="center"/>
          </w:tcPr>
          <w:p w:rsidR="00FC1AE5" w:rsidRDefault="006D147C">
            <w:pPr>
              <w:keepNext/>
              <w:keepLines/>
              <w:spacing w:after="0" w:line="240" w:lineRule="auto"/>
              <w:jc w:val="right"/>
            </w:pPr>
            <w:r>
              <w:rPr>
                <w:sz w:val="18"/>
              </w:rPr>
              <w:t>1.966.068,54</w:t>
            </w:r>
          </w:p>
        </w:tc>
        <w:tc>
          <w:tcPr>
            <w:tcW w:w="700" w:type="dxa"/>
            <w:tcMar>
              <w:top w:w="0" w:type="dxa"/>
              <w:bottom w:w="0" w:type="dxa"/>
            </w:tcMar>
            <w:vAlign w:val="center"/>
          </w:tcPr>
          <w:p w:rsidR="00FC1AE5" w:rsidRDefault="006D147C">
            <w:pPr>
              <w:keepNext/>
              <w:keepLines/>
              <w:spacing w:after="0" w:line="240" w:lineRule="auto"/>
              <w:jc w:val="right"/>
            </w:pPr>
            <w:r>
              <w:rPr>
                <w:sz w:val="18"/>
              </w:rPr>
              <w:t>122,6</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3</w:t>
            </w:r>
          </w:p>
        </w:tc>
        <w:tc>
          <w:tcPr>
            <w:tcW w:w="3180" w:type="dxa"/>
            <w:tcMar>
              <w:top w:w="0" w:type="dxa"/>
              <w:bottom w:w="0" w:type="dxa"/>
            </w:tcMar>
            <w:vAlign w:val="center"/>
          </w:tcPr>
          <w:p w:rsidR="00FC1AE5" w:rsidRDefault="006D147C">
            <w:pPr>
              <w:keepNext/>
              <w:keepLines/>
              <w:spacing w:after="0" w:line="240" w:lineRule="auto"/>
            </w:pPr>
            <w:r>
              <w:rPr>
                <w:sz w:val="18"/>
              </w:rPr>
              <w:t>RASHODI POSLOVANJA (šifre 31+32+34+35+36+37+38)</w:t>
            </w:r>
          </w:p>
        </w:tc>
        <w:tc>
          <w:tcPr>
            <w:tcW w:w="700" w:type="dxa"/>
            <w:tcMar>
              <w:top w:w="0" w:type="dxa"/>
              <w:bottom w:w="0" w:type="dxa"/>
            </w:tcMar>
            <w:vAlign w:val="center"/>
          </w:tcPr>
          <w:p w:rsidR="00FC1AE5" w:rsidRDefault="006D147C">
            <w:pPr>
              <w:keepNext/>
              <w:keepLines/>
              <w:spacing w:after="0" w:line="240" w:lineRule="auto"/>
            </w:pPr>
            <w:r>
              <w:rPr>
                <w:sz w:val="18"/>
              </w:rPr>
              <w:t>3</w:t>
            </w:r>
          </w:p>
        </w:tc>
        <w:tc>
          <w:tcPr>
            <w:tcW w:w="1860" w:type="dxa"/>
            <w:tcMar>
              <w:top w:w="0" w:type="dxa"/>
              <w:bottom w:w="0" w:type="dxa"/>
            </w:tcMar>
            <w:vAlign w:val="center"/>
          </w:tcPr>
          <w:p w:rsidR="00FC1AE5" w:rsidRDefault="006D147C">
            <w:pPr>
              <w:keepNext/>
              <w:keepLines/>
              <w:spacing w:after="0" w:line="240" w:lineRule="auto"/>
              <w:jc w:val="right"/>
            </w:pPr>
            <w:r>
              <w:rPr>
                <w:sz w:val="18"/>
              </w:rPr>
              <w:t>1.674.413,45</w:t>
            </w:r>
          </w:p>
        </w:tc>
        <w:tc>
          <w:tcPr>
            <w:tcW w:w="1860" w:type="dxa"/>
            <w:tcMar>
              <w:top w:w="0" w:type="dxa"/>
              <w:bottom w:w="0" w:type="dxa"/>
            </w:tcMar>
            <w:vAlign w:val="center"/>
          </w:tcPr>
          <w:p w:rsidR="00FC1AE5" w:rsidRDefault="006D147C">
            <w:pPr>
              <w:keepNext/>
              <w:keepLines/>
              <w:spacing w:after="0" w:line="240" w:lineRule="auto"/>
              <w:jc w:val="right"/>
            </w:pPr>
            <w:r>
              <w:rPr>
                <w:sz w:val="18"/>
              </w:rPr>
              <w:t>1.916.208,53</w:t>
            </w:r>
          </w:p>
        </w:tc>
        <w:tc>
          <w:tcPr>
            <w:tcW w:w="700" w:type="dxa"/>
            <w:tcMar>
              <w:top w:w="0" w:type="dxa"/>
              <w:bottom w:w="0" w:type="dxa"/>
            </w:tcMar>
            <w:vAlign w:val="center"/>
          </w:tcPr>
          <w:p w:rsidR="00FC1AE5" w:rsidRDefault="006D147C">
            <w:pPr>
              <w:keepNext/>
              <w:keepLines/>
              <w:spacing w:after="0" w:line="240" w:lineRule="auto"/>
              <w:jc w:val="right"/>
            </w:pPr>
            <w:r>
              <w:rPr>
                <w:sz w:val="18"/>
              </w:rPr>
              <w:t>114,4</w:t>
            </w:r>
          </w:p>
        </w:tc>
      </w:tr>
      <w:tr w:rsidR="00FC1AE5">
        <w:trPr>
          <w:cantSplit/>
          <w:trHeight w:val="560"/>
        </w:trPr>
        <w:tc>
          <w:tcPr>
            <w:tcW w:w="700" w:type="dxa"/>
            <w:tcMar>
              <w:top w:w="0" w:type="dxa"/>
              <w:bottom w:w="0" w:type="dxa"/>
            </w:tcMar>
            <w:vAlign w:val="center"/>
          </w:tcPr>
          <w:p w:rsidR="00FC1AE5" w:rsidRDefault="00FC1AE5">
            <w:pPr>
              <w:keepNext/>
              <w:keepLines/>
              <w:spacing w:after="0" w:line="240" w:lineRule="auto"/>
            </w:pPr>
          </w:p>
        </w:tc>
        <w:tc>
          <w:tcPr>
            <w:tcW w:w="3180" w:type="dxa"/>
            <w:tcMar>
              <w:top w:w="0" w:type="dxa"/>
              <w:bottom w:w="0" w:type="dxa"/>
            </w:tcMar>
            <w:vAlign w:val="center"/>
          </w:tcPr>
          <w:p w:rsidR="00FC1AE5" w:rsidRDefault="006D147C">
            <w:pPr>
              <w:keepNext/>
              <w:keepLines/>
              <w:spacing w:after="0" w:line="240" w:lineRule="auto"/>
            </w:pPr>
            <w:r>
              <w:rPr>
                <w:b/>
                <w:sz w:val="18"/>
              </w:rPr>
              <w:t>VIŠAK PRIHODA POSLOVANJA (šifre 6-Z005)</w:t>
            </w:r>
          </w:p>
        </w:tc>
        <w:tc>
          <w:tcPr>
            <w:tcW w:w="700" w:type="dxa"/>
            <w:tcMar>
              <w:top w:w="0" w:type="dxa"/>
              <w:bottom w:w="0" w:type="dxa"/>
            </w:tcMar>
            <w:vAlign w:val="center"/>
          </w:tcPr>
          <w:p w:rsidR="00FC1AE5" w:rsidRDefault="006D147C">
            <w:pPr>
              <w:keepNext/>
              <w:keepLines/>
              <w:spacing w:after="0" w:line="240" w:lineRule="auto"/>
            </w:pPr>
            <w:r>
              <w:rPr>
                <w:b/>
                <w:sz w:val="18"/>
              </w:rPr>
              <w:t>X001</w:t>
            </w:r>
          </w:p>
        </w:tc>
        <w:tc>
          <w:tcPr>
            <w:tcW w:w="1860" w:type="dxa"/>
            <w:tcMar>
              <w:top w:w="0" w:type="dxa"/>
              <w:bottom w:w="0" w:type="dxa"/>
            </w:tcMar>
            <w:vAlign w:val="center"/>
          </w:tcPr>
          <w:p w:rsidR="00FC1AE5" w:rsidRDefault="006D147C">
            <w:pPr>
              <w:keepNext/>
              <w:keepLines/>
              <w:spacing w:after="0" w:line="240" w:lineRule="auto"/>
              <w:jc w:val="right"/>
            </w:pPr>
            <w:r>
              <w:rPr>
                <w:b/>
                <w:sz w:val="18"/>
              </w:rPr>
              <w:t>0,00</w:t>
            </w:r>
          </w:p>
        </w:tc>
        <w:tc>
          <w:tcPr>
            <w:tcW w:w="1860" w:type="dxa"/>
            <w:tcMar>
              <w:top w:w="0" w:type="dxa"/>
              <w:bottom w:w="0" w:type="dxa"/>
            </w:tcMar>
            <w:vAlign w:val="center"/>
          </w:tcPr>
          <w:p w:rsidR="00FC1AE5" w:rsidRDefault="006D147C">
            <w:pPr>
              <w:keepNext/>
              <w:keepLines/>
              <w:spacing w:after="0" w:line="240" w:lineRule="auto"/>
              <w:jc w:val="right"/>
            </w:pPr>
            <w:r>
              <w:rPr>
                <w:b/>
                <w:sz w:val="18"/>
              </w:rPr>
              <w:t>49.860,01</w:t>
            </w:r>
          </w:p>
        </w:tc>
        <w:tc>
          <w:tcPr>
            <w:tcW w:w="700" w:type="dxa"/>
            <w:tcMar>
              <w:top w:w="0" w:type="dxa"/>
              <w:bottom w:w="0" w:type="dxa"/>
            </w:tcMar>
            <w:vAlign w:val="center"/>
          </w:tcPr>
          <w:p w:rsidR="00FC1AE5" w:rsidRDefault="006D147C">
            <w:pPr>
              <w:keepNext/>
              <w:keepLines/>
              <w:spacing w:after="0" w:line="240" w:lineRule="auto"/>
              <w:jc w:val="right"/>
            </w:pPr>
            <w:r>
              <w:rPr>
                <w:b/>
                <w:sz w:val="18"/>
              </w:rPr>
              <w:t>-</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7</w:t>
            </w:r>
          </w:p>
        </w:tc>
        <w:tc>
          <w:tcPr>
            <w:tcW w:w="3180" w:type="dxa"/>
            <w:tcMar>
              <w:top w:w="0" w:type="dxa"/>
              <w:bottom w:w="0" w:type="dxa"/>
            </w:tcMar>
            <w:vAlign w:val="center"/>
          </w:tcPr>
          <w:p w:rsidR="00FC1AE5" w:rsidRDefault="006D147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C1AE5" w:rsidRDefault="006D147C">
            <w:pPr>
              <w:keepNext/>
              <w:keepLines/>
              <w:spacing w:after="0" w:line="240" w:lineRule="auto"/>
            </w:pPr>
            <w:r>
              <w:rPr>
                <w:sz w:val="18"/>
              </w:rPr>
              <w:t>7</w:t>
            </w:r>
          </w:p>
        </w:tc>
        <w:tc>
          <w:tcPr>
            <w:tcW w:w="1860" w:type="dxa"/>
            <w:tcMar>
              <w:top w:w="0" w:type="dxa"/>
              <w:bottom w:w="0" w:type="dxa"/>
            </w:tcMar>
            <w:vAlign w:val="center"/>
          </w:tcPr>
          <w:p w:rsidR="00FC1AE5" w:rsidRDefault="006D147C">
            <w:pPr>
              <w:keepNext/>
              <w:keepLines/>
              <w:spacing w:after="0" w:line="240" w:lineRule="auto"/>
              <w:jc w:val="right"/>
            </w:pPr>
            <w:r>
              <w:rPr>
                <w:sz w:val="18"/>
              </w:rPr>
              <w:t>12.848,80</w:t>
            </w:r>
          </w:p>
        </w:tc>
        <w:tc>
          <w:tcPr>
            <w:tcW w:w="1860" w:type="dxa"/>
            <w:tcMar>
              <w:top w:w="0" w:type="dxa"/>
              <w:bottom w:w="0" w:type="dxa"/>
            </w:tcMar>
            <w:vAlign w:val="center"/>
          </w:tcPr>
          <w:p w:rsidR="00FC1AE5" w:rsidRDefault="006D147C">
            <w:pPr>
              <w:keepNext/>
              <w:keepLines/>
              <w:spacing w:after="0" w:line="240" w:lineRule="auto"/>
              <w:jc w:val="right"/>
            </w:pPr>
            <w:r>
              <w:rPr>
                <w:sz w:val="18"/>
              </w:rPr>
              <w:t>0,00</w:t>
            </w:r>
          </w:p>
        </w:tc>
        <w:tc>
          <w:tcPr>
            <w:tcW w:w="700" w:type="dxa"/>
            <w:tcMar>
              <w:top w:w="0" w:type="dxa"/>
              <w:bottom w:w="0" w:type="dxa"/>
            </w:tcMar>
            <w:vAlign w:val="center"/>
          </w:tcPr>
          <w:p w:rsidR="00FC1AE5" w:rsidRDefault="006D147C">
            <w:pPr>
              <w:keepNext/>
              <w:keepLines/>
              <w:spacing w:after="0" w:line="240" w:lineRule="auto"/>
              <w:jc w:val="right"/>
            </w:pPr>
            <w:r>
              <w:rPr>
                <w:sz w:val="18"/>
              </w:rPr>
              <w:t>0</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4</w:t>
            </w:r>
          </w:p>
        </w:tc>
        <w:tc>
          <w:tcPr>
            <w:tcW w:w="3180" w:type="dxa"/>
            <w:tcMar>
              <w:top w:w="0" w:type="dxa"/>
              <w:bottom w:w="0" w:type="dxa"/>
            </w:tcMar>
            <w:vAlign w:val="center"/>
          </w:tcPr>
          <w:p w:rsidR="00FC1AE5" w:rsidRDefault="006D147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C1AE5" w:rsidRDefault="006D147C">
            <w:pPr>
              <w:keepNext/>
              <w:keepLines/>
              <w:spacing w:after="0" w:line="240" w:lineRule="auto"/>
            </w:pPr>
            <w:r>
              <w:rPr>
                <w:sz w:val="18"/>
              </w:rPr>
              <w:t>4</w:t>
            </w:r>
          </w:p>
        </w:tc>
        <w:tc>
          <w:tcPr>
            <w:tcW w:w="1860" w:type="dxa"/>
            <w:tcMar>
              <w:top w:w="0" w:type="dxa"/>
              <w:bottom w:w="0" w:type="dxa"/>
            </w:tcMar>
            <w:vAlign w:val="center"/>
          </w:tcPr>
          <w:p w:rsidR="00FC1AE5" w:rsidRDefault="006D147C">
            <w:pPr>
              <w:keepNext/>
              <w:keepLines/>
              <w:spacing w:after="0" w:line="240" w:lineRule="auto"/>
              <w:jc w:val="right"/>
            </w:pPr>
            <w:r>
              <w:rPr>
                <w:sz w:val="18"/>
              </w:rPr>
              <w:t>28.871,99</w:t>
            </w:r>
          </w:p>
        </w:tc>
        <w:tc>
          <w:tcPr>
            <w:tcW w:w="1860" w:type="dxa"/>
            <w:tcMar>
              <w:top w:w="0" w:type="dxa"/>
              <w:bottom w:w="0" w:type="dxa"/>
            </w:tcMar>
            <w:vAlign w:val="center"/>
          </w:tcPr>
          <w:p w:rsidR="00FC1AE5" w:rsidRDefault="006D147C">
            <w:pPr>
              <w:keepNext/>
              <w:keepLines/>
              <w:spacing w:after="0" w:line="240" w:lineRule="auto"/>
              <w:jc w:val="right"/>
            </w:pPr>
            <w:r>
              <w:rPr>
                <w:sz w:val="18"/>
              </w:rPr>
              <w:t>43.148,02</w:t>
            </w:r>
          </w:p>
        </w:tc>
        <w:tc>
          <w:tcPr>
            <w:tcW w:w="700" w:type="dxa"/>
            <w:tcMar>
              <w:top w:w="0" w:type="dxa"/>
              <w:bottom w:w="0" w:type="dxa"/>
            </w:tcMar>
            <w:vAlign w:val="center"/>
          </w:tcPr>
          <w:p w:rsidR="00FC1AE5" w:rsidRDefault="006D147C">
            <w:pPr>
              <w:keepNext/>
              <w:keepLines/>
              <w:spacing w:after="0" w:line="240" w:lineRule="auto"/>
              <w:jc w:val="right"/>
            </w:pPr>
            <w:r>
              <w:rPr>
                <w:sz w:val="18"/>
              </w:rPr>
              <w:t>149,4</w:t>
            </w:r>
          </w:p>
        </w:tc>
      </w:tr>
      <w:tr w:rsidR="00FC1AE5">
        <w:trPr>
          <w:cantSplit/>
          <w:trHeight w:val="560"/>
        </w:trPr>
        <w:tc>
          <w:tcPr>
            <w:tcW w:w="700" w:type="dxa"/>
            <w:tcMar>
              <w:top w:w="0" w:type="dxa"/>
              <w:bottom w:w="0" w:type="dxa"/>
            </w:tcMar>
            <w:vAlign w:val="center"/>
          </w:tcPr>
          <w:p w:rsidR="00FC1AE5" w:rsidRDefault="00FC1AE5">
            <w:pPr>
              <w:keepNext/>
              <w:keepLines/>
              <w:spacing w:after="0" w:line="240" w:lineRule="auto"/>
            </w:pPr>
          </w:p>
        </w:tc>
        <w:tc>
          <w:tcPr>
            <w:tcW w:w="3180" w:type="dxa"/>
            <w:tcMar>
              <w:top w:w="0" w:type="dxa"/>
              <w:bottom w:w="0" w:type="dxa"/>
            </w:tcMar>
            <w:vAlign w:val="center"/>
          </w:tcPr>
          <w:p w:rsidR="00FC1AE5" w:rsidRDefault="006D147C">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C1AE5" w:rsidRDefault="006D147C">
            <w:pPr>
              <w:keepNext/>
              <w:keepLines/>
              <w:spacing w:after="0" w:line="240" w:lineRule="auto"/>
            </w:pPr>
            <w:r>
              <w:rPr>
                <w:b/>
                <w:sz w:val="18"/>
              </w:rPr>
              <w:t>Y002</w:t>
            </w:r>
          </w:p>
        </w:tc>
        <w:tc>
          <w:tcPr>
            <w:tcW w:w="1860" w:type="dxa"/>
            <w:tcMar>
              <w:top w:w="0" w:type="dxa"/>
              <w:bottom w:w="0" w:type="dxa"/>
            </w:tcMar>
            <w:vAlign w:val="center"/>
          </w:tcPr>
          <w:p w:rsidR="00FC1AE5" w:rsidRDefault="006D147C">
            <w:pPr>
              <w:keepNext/>
              <w:keepLines/>
              <w:spacing w:after="0" w:line="240" w:lineRule="auto"/>
              <w:jc w:val="right"/>
            </w:pPr>
            <w:r>
              <w:rPr>
                <w:b/>
                <w:sz w:val="18"/>
              </w:rPr>
              <w:t>16.023,19</w:t>
            </w:r>
          </w:p>
        </w:tc>
        <w:tc>
          <w:tcPr>
            <w:tcW w:w="1860" w:type="dxa"/>
            <w:tcMar>
              <w:top w:w="0" w:type="dxa"/>
              <w:bottom w:w="0" w:type="dxa"/>
            </w:tcMar>
            <w:vAlign w:val="center"/>
          </w:tcPr>
          <w:p w:rsidR="00FC1AE5" w:rsidRDefault="006D147C">
            <w:pPr>
              <w:keepNext/>
              <w:keepLines/>
              <w:spacing w:after="0" w:line="240" w:lineRule="auto"/>
              <w:jc w:val="right"/>
            </w:pPr>
            <w:r>
              <w:rPr>
                <w:b/>
                <w:sz w:val="18"/>
              </w:rPr>
              <w:t>43.148,02</w:t>
            </w:r>
          </w:p>
        </w:tc>
        <w:tc>
          <w:tcPr>
            <w:tcW w:w="700" w:type="dxa"/>
            <w:tcMar>
              <w:top w:w="0" w:type="dxa"/>
              <w:bottom w:w="0" w:type="dxa"/>
            </w:tcMar>
            <w:vAlign w:val="center"/>
          </w:tcPr>
          <w:p w:rsidR="00FC1AE5" w:rsidRDefault="006D147C">
            <w:pPr>
              <w:keepNext/>
              <w:keepLines/>
              <w:spacing w:after="0" w:line="240" w:lineRule="auto"/>
              <w:jc w:val="right"/>
            </w:pPr>
            <w:r>
              <w:rPr>
                <w:b/>
                <w:sz w:val="18"/>
              </w:rPr>
              <w:t>269,3</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8</w:t>
            </w:r>
          </w:p>
        </w:tc>
        <w:tc>
          <w:tcPr>
            <w:tcW w:w="3180" w:type="dxa"/>
            <w:tcMar>
              <w:top w:w="0" w:type="dxa"/>
              <w:bottom w:w="0" w:type="dxa"/>
            </w:tcMar>
            <w:vAlign w:val="center"/>
          </w:tcPr>
          <w:p w:rsidR="00FC1AE5" w:rsidRDefault="006D147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C1AE5" w:rsidRDefault="006D147C">
            <w:pPr>
              <w:keepNext/>
              <w:keepLines/>
              <w:spacing w:after="0" w:line="240" w:lineRule="auto"/>
            </w:pPr>
            <w:r>
              <w:rPr>
                <w:sz w:val="18"/>
              </w:rPr>
              <w:t>8</w:t>
            </w:r>
          </w:p>
        </w:tc>
        <w:tc>
          <w:tcPr>
            <w:tcW w:w="1860" w:type="dxa"/>
            <w:tcMar>
              <w:top w:w="0" w:type="dxa"/>
              <w:bottom w:w="0" w:type="dxa"/>
            </w:tcMar>
            <w:vAlign w:val="center"/>
          </w:tcPr>
          <w:p w:rsidR="00FC1AE5" w:rsidRDefault="006D147C">
            <w:pPr>
              <w:keepNext/>
              <w:keepLines/>
              <w:spacing w:after="0" w:line="240" w:lineRule="auto"/>
              <w:jc w:val="right"/>
            </w:pPr>
            <w:r>
              <w:rPr>
                <w:sz w:val="18"/>
              </w:rPr>
              <w:t>0,00</w:t>
            </w:r>
          </w:p>
        </w:tc>
        <w:tc>
          <w:tcPr>
            <w:tcW w:w="1860" w:type="dxa"/>
            <w:tcMar>
              <w:top w:w="0" w:type="dxa"/>
              <w:bottom w:w="0" w:type="dxa"/>
            </w:tcMar>
            <w:vAlign w:val="center"/>
          </w:tcPr>
          <w:p w:rsidR="00FC1AE5" w:rsidRDefault="006D147C">
            <w:pPr>
              <w:keepNext/>
              <w:keepLines/>
              <w:spacing w:after="0" w:line="240" w:lineRule="auto"/>
              <w:jc w:val="right"/>
            </w:pPr>
            <w:r>
              <w:rPr>
                <w:sz w:val="18"/>
              </w:rPr>
              <w:t>0,00</w:t>
            </w:r>
          </w:p>
        </w:tc>
        <w:tc>
          <w:tcPr>
            <w:tcW w:w="700" w:type="dxa"/>
            <w:tcMar>
              <w:top w:w="0" w:type="dxa"/>
              <w:bottom w:w="0" w:type="dxa"/>
            </w:tcMar>
            <w:vAlign w:val="center"/>
          </w:tcPr>
          <w:p w:rsidR="00FC1AE5" w:rsidRDefault="006D147C">
            <w:pPr>
              <w:keepNext/>
              <w:keepLines/>
              <w:spacing w:after="0" w:line="240" w:lineRule="auto"/>
              <w:jc w:val="right"/>
            </w:pPr>
            <w:r>
              <w:rPr>
                <w:sz w:val="18"/>
              </w:rPr>
              <w:t>-</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5</w:t>
            </w:r>
          </w:p>
        </w:tc>
        <w:tc>
          <w:tcPr>
            <w:tcW w:w="3180" w:type="dxa"/>
            <w:tcMar>
              <w:top w:w="0" w:type="dxa"/>
              <w:bottom w:w="0" w:type="dxa"/>
            </w:tcMar>
            <w:vAlign w:val="center"/>
          </w:tcPr>
          <w:p w:rsidR="00FC1AE5" w:rsidRDefault="006D147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C1AE5" w:rsidRDefault="006D147C">
            <w:pPr>
              <w:keepNext/>
              <w:keepLines/>
              <w:spacing w:after="0" w:line="240" w:lineRule="auto"/>
            </w:pPr>
            <w:r>
              <w:rPr>
                <w:sz w:val="18"/>
              </w:rPr>
              <w:t>5</w:t>
            </w:r>
          </w:p>
        </w:tc>
        <w:tc>
          <w:tcPr>
            <w:tcW w:w="1860" w:type="dxa"/>
            <w:tcMar>
              <w:top w:w="0" w:type="dxa"/>
              <w:bottom w:w="0" w:type="dxa"/>
            </w:tcMar>
            <w:vAlign w:val="center"/>
          </w:tcPr>
          <w:p w:rsidR="00FC1AE5" w:rsidRDefault="006D147C">
            <w:pPr>
              <w:keepNext/>
              <w:keepLines/>
              <w:spacing w:after="0" w:line="240" w:lineRule="auto"/>
              <w:jc w:val="right"/>
            </w:pPr>
            <w:r>
              <w:rPr>
                <w:sz w:val="18"/>
              </w:rPr>
              <w:t>0,00</w:t>
            </w:r>
          </w:p>
        </w:tc>
        <w:tc>
          <w:tcPr>
            <w:tcW w:w="1860" w:type="dxa"/>
            <w:tcMar>
              <w:top w:w="0" w:type="dxa"/>
              <w:bottom w:w="0" w:type="dxa"/>
            </w:tcMar>
            <w:vAlign w:val="center"/>
          </w:tcPr>
          <w:p w:rsidR="00FC1AE5" w:rsidRDefault="006D147C">
            <w:pPr>
              <w:keepNext/>
              <w:keepLines/>
              <w:spacing w:after="0" w:line="240" w:lineRule="auto"/>
              <w:jc w:val="right"/>
            </w:pPr>
            <w:r>
              <w:rPr>
                <w:sz w:val="18"/>
              </w:rPr>
              <w:t>0,00</w:t>
            </w:r>
          </w:p>
        </w:tc>
        <w:tc>
          <w:tcPr>
            <w:tcW w:w="700" w:type="dxa"/>
            <w:tcMar>
              <w:top w:w="0" w:type="dxa"/>
              <w:bottom w:w="0" w:type="dxa"/>
            </w:tcMar>
            <w:vAlign w:val="center"/>
          </w:tcPr>
          <w:p w:rsidR="00FC1AE5" w:rsidRDefault="006D147C">
            <w:pPr>
              <w:keepNext/>
              <w:keepLines/>
              <w:spacing w:after="0" w:line="240" w:lineRule="auto"/>
              <w:jc w:val="right"/>
            </w:pPr>
            <w:r>
              <w:rPr>
                <w:sz w:val="18"/>
              </w:rPr>
              <w:t>-</w:t>
            </w:r>
          </w:p>
        </w:tc>
      </w:tr>
      <w:tr w:rsidR="00FC1AE5">
        <w:trPr>
          <w:cantSplit/>
          <w:trHeight w:val="560"/>
        </w:trPr>
        <w:tc>
          <w:tcPr>
            <w:tcW w:w="700" w:type="dxa"/>
            <w:tcMar>
              <w:top w:w="0" w:type="dxa"/>
              <w:bottom w:w="0" w:type="dxa"/>
            </w:tcMar>
            <w:vAlign w:val="center"/>
          </w:tcPr>
          <w:p w:rsidR="00FC1AE5" w:rsidRDefault="00FC1AE5">
            <w:pPr>
              <w:keepNext/>
              <w:keepLines/>
              <w:spacing w:after="0" w:line="240" w:lineRule="auto"/>
            </w:pPr>
          </w:p>
        </w:tc>
        <w:tc>
          <w:tcPr>
            <w:tcW w:w="3180" w:type="dxa"/>
            <w:tcMar>
              <w:top w:w="0" w:type="dxa"/>
              <w:bottom w:w="0" w:type="dxa"/>
            </w:tcMar>
            <w:vAlign w:val="center"/>
          </w:tcPr>
          <w:p w:rsidR="00FC1AE5" w:rsidRDefault="006D147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C1AE5" w:rsidRDefault="006D147C">
            <w:pPr>
              <w:keepNext/>
              <w:keepLines/>
              <w:spacing w:after="0" w:line="240" w:lineRule="auto"/>
            </w:pPr>
            <w:r>
              <w:rPr>
                <w:b/>
                <w:sz w:val="18"/>
              </w:rPr>
              <w:t>X003, Y003</w:t>
            </w:r>
          </w:p>
        </w:tc>
        <w:tc>
          <w:tcPr>
            <w:tcW w:w="1860" w:type="dxa"/>
            <w:tcMar>
              <w:top w:w="0" w:type="dxa"/>
              <w:bottom w:w="0" w:type="dxa"/>
            </w:tcMar>
            <w:vAlign w:val="center"/>
          </w:tcPr>
          <w:p w:rsidR="00FC1AE5" w:rsidRDefault="006D147C">
            <w:pPr>
              <w:keepNext/>
              <w:keepLines/>
              <w:spacing w:after="0" w:line="240" w:lineRule="auto"/>
              <w:jc w:val="right"/>
            </w:pPr>
            <w:r>
              <w:rPr>
                <w:b/>
                <w:sz w:val="18"/>
              </w:rPr>
              <w:t>0,00</w:t>
            </w:r>
          </w:p>
        </w:tc>
        <w:tc>
          <w:tcPr>
            <w:tcW w:w="1860" w:type="dxa"/>
            <w:tcMar>
              <w:top w:w="0" w:type="dxa"/>
              <w:bottom w:w="0" w:type="dxa"/>
            </w:tcMar>
            <w:vAlign w:val="center"/>
          </w:tcPr>
          <w:p w:rsidR="00FC1AE5" w:rsidRDefault="006D147C">
            <w:pPr>
              <w:keepNext/>
              <w:keepLines/>
              <w:spacing w:after="0" w:line="240" w:lineRule="auto"/>
              <w:jc w:val="right"/>
            </w:pPr>
            <w:r>
              <w:rPr>
                <w:b/>
                <w:sz w:val="18"/>
              </w:rPr>
              <w:t>0,00</w:t>
            </w:r>
          </w:p>
        </w:tc>
        <w:tc>
          <w:tcPr>
            <w:tcW w:w="700" w:type="dxa"/>
            <w:tcMar>
              <w:top w:w="0" w:type="dxa"/>
              <w:bottom w:w="0" w:type="dxa"/>
            </w:tcMar>
            <w:vAlign w:val="center"/>
          </w:tcPr>
          <w:p w:rsidR="00FC1AE5" w:rsidRDefault="006D147C">
            <w:pPr>
              <w:keepNext/>
              <w:keepLines/>
              <w:spacing w:after="0" w:line="240" w:lineRule="auto"/>
              <w:jc w:val="right"/>
            </w:pPr>
            <w:r>
              <w:rPr>
                <w:b/>
                <w:sz w:val="18"/>
              </w:rPr>
              <w:t>-</w:t>
            </w:r>
          </w:p>
        </w:tc>
      </w:tr>
      <w:tr w:rsidR="00FC1AE5">
        <w:trPr>
          <w:cantSplit/>
          <w:trHeight w:val="560"/>
        </w:trPr>
        <w:tc>
          <w:tcPr>
            <w:tcW w:w="700" w:type="dxa"/>
            <w:tcMar>
              <w:top w:w="0" w:type="dxa"/>
              <w:bottom w:w="0" w:type="dxa"/>
            </w:tcMar>
            <w:vAlign w:val="center"/>
          </w:tcPr>
          <w:p w:rsidR="00FC1AE5" w:rsidRDefault="00FC1AE5">
            <w:pPr>
              <w:keepNext/>
              <w:keepLines/>
              <w:spacing w:after="0" w:line="240" w:lineRule="auto"/>
            </w:pPr>
          </w:p>
        </w:tc>
        <w:tc>
          <w:tcPr>
            <w:tcW w:w="3180" w:type="dxa"/>
            <w:tcMar>
              <w:top w:w="0" w:type="dxa"/>
              <w:bottom w:w="0" w:type="dxa"/>
            </w:tcMar>
            <w:vAlign w:val="center"/>
          </w:tcPr>
          <w:p w:rsidR="00FC1AE5" w:rsidRDefault="006D147C">
            <w:pPr>
              <w:keepNext/>
              <w:keepLines/>
              <w:spacing w:after="0" w:line="240" w:lineRule="auto"/>
            </w:pPr>
            <w:r>
              <w:rPr>
                <w:b/>
                <w:sz w:val="18"/>
              </w:rPr>
              <w:t>VIŠAK PRIHODA I PRIMITAKA (šifre X678-Y345)</w:t>
            </w:r>
          </w:p>
        </w:tc>
        <w:tc>
          <w:tcPr>
            <w:tcW w:w="700" w:type="dxa"/>
            <w:tcMar>
              <w:top w:w="0" w:type="dxa"/>
              <w:bottom w:w="0" w:type="dxa"/>
            </w:tcMar>
            <w:vAlign w:val="center"/>
          </w:tcPr>
          <w:p w:rsidR="00FC1AE5" w:rsidRDefault="006D147C">
            <w:pPr>
              <w:keepNext/>
              <w:keepLines/>
              <w:spacing w:after="0" w:line="240" w:lineRule="auto"/>
            </w:pPr>
            <w:r>
              <w:rPr>
                <w:b/>
                <w:sz w:val="18"/>
              </w:rPr>
              <w:t>X005</w:t>
            </w:r>
          </w:p>
        </w:tc>
        <w:tc>
          <w:tcPr>
            <w:tcW w:w="1860" w:type="dxa"/>
            <w:tcMar>
              <w:top w:w="0" w:type="dxa"/>
              <w:bottom w:w="0" w:type="dxa"/>
            </w:tcMar>
            <w:vAlign w:val="center"/>
          </w:tcPr>
          <w:p w:rsidR="00FC1AE5" w:rsidRDefault="006D147C">
            <w:pPr>
              <w:keepNext/>
              <w:keepLines/>
              <w:spacing w:after="0" w:line="240" w:lineRule="auto"/>
              <w:jc w:val="right"/>
            </w:pPr>
            <w:r>
              <w:rPr>
                <w:b/>
                <w:sz w:val="18"/>
              </w:rPr>
              <w:t>0,00</w:t>
            </w:r>
          </w:p>
        </w:tc>
        <w:tc>
          <w:tcPr>
            <w:tcW w:w="1860" w:type="dxa"/>
            <w:tcMar>
              <w:top w:w="0" w:type="dxa"/>
              <w:bottom w:w="0" w:type="dxa"/>
            </w:tcMar>
            <w:vAlign w:val="center"/>
          </w:tcPr>
          <w:p w:rsidR="00FC1AE5" w:rsidRDefault="006D147C">
            <w:pPr>
              <w:keepNext/>
              <w:keepLines/>
              <w:spacing w:after="0" w:line="240" w:lineRule="auto"/>
              <w:jc w:val="right"/>
            </w:pPr>
            <w:r>
              <w:rPr>
                <w:b/>
                <w:sz w:val="18"/>
              </w:rPr>
              <w:t>6.711,99</w:t>
            </w:r>
          </w:p>
        </w:tc>
        <w:tc>
          <w:tcPr>
            <w:tcW w:w="700" w:type="dxa"/>
            <w:tcMar>
              <w:top w:w="0" w:type="dxa"/>
              <w:bottom w:w="0" w:type="dxa"/>
            </w:tcMar>
            <w:vAlign w:val="center"/>
          </w:tcPr>
          <w:p w:rsidR="00FC1AE5" w:rsidRDefault="006D147C">
            <w:pPr>
              <w:keepNext/>
              <w:keepLines/>
              <w:spacing w:after="0" w:line="240" w:lineRule="auto"/>
              <w:jc w:val="right"/>
            </w:pPr>
            <w:r>
              <w:rPr>
                <w:b/>
                <w:sz w:val="18"/>
              </w:rPr>
              <w:t>-</w:t>
            </w:r>
          </w:p>
        </w:tc>
      </w:tr>
    </w:tbl>
    <w:p w:rsidR="00FC1AE5" w:rsidRDefault="00FC1AE5">
      <w:pPr>
        <w:spacing w:after="0"/>
      </w:pPr>
    </w:p>
    <w:p w:rsidR="00FC1AE5" w:rsidRDefault="006D147C">
      <w:r>
        <w:t>Tijekom razdoblja od 1. siječnja do 31. prosinca 2025. godine Zavod za javno zdravstvo Ličko-senjske županije ostvario je prihode i primitke u iznosu od 1.966.098,54 EUR te rashode i izdatke u iznosu od 1.959.356,55 EUR, čime je ostvaren višak prihoda u iznosu od 6.711,99 EUR.</w:t>
      </w:r>
    </w:p>
    <w:p w:rsidR="00FC1AE5" w:rsidRDefault="006D147C">
      <w:r>
        <w:lastRenderedPageBreak/>
        <w:t>Preneseni višak prihoda iz prethodnog razdoblja iznosi 202.144,55 EUR, te ukupni raspoloživi računovodstveni višak prihoda (distribucija cjepiva) za sljedeće razdoblje iznosi 208.856,54 EUR (preneseni višak bez iskazanih prihoda cjepiva iznosi 172.154,25 EUR.)</w:t>
      </w:r>
    </w:p>
    <w:p w:rsidR="00FC1AE5" w:rsidRDefault="006D147C">
      <w:r>
        <w:t>Isključujući rashode i izdatke koji se odnose na distribuciju i otpis cjepiva, evidentirane sukladno Uputi za provođenje knjigovodstvenih evidencija nabave i distribucije cjepiva kod Hrvatskog zavoda za javno zdravstvo, Hrvatskog zavoda za zdravstveno osiguranje i županijskih zavoda za javno zdravstvo (KLASA: 011-01/23-01/23, URBROJ: 513-05-03-24-4, od 5. studenoga 2024. godine), Zavod bi ostvario manjak prihoda u iznosu od 36.702,29 EUR.</w:t>
      </w:r>
    </w:p>
    <w:p w:rsidR="00FC1AE5" w:rsidRDefault="006D147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w:t>
            </w:r>
          </w:p>
        </w:tc>
        <w:tc>
          <w:tcPr>
            <w:tcW w:w="3180" w:type="dxa"/>
            <w:tcMar>
              <w:top w:w="0" w:type="dxa"/>
              <w:bottom w:w="0" w:type="dxa"/>
            </w:tcMar>
            <w:vAlign w:val="center"/>
          </w:tcPr>
          <w:p w:rsidR="00FC1AE5" w:rsidRDefault="006D147C">
            <w:pPr>
              <w:keepNext/>
              <w:keepLines/>
              <w:spacing w:after="0" w:line="240" w:lineRule="auto"/>
            </w:pPr>
            <w:r>
              <w:rPr>
                <w:sz w:val="18"/>
              </w:rPr>
              <w:t>PRIHODI POSLOVANJA (šifre 61+62+63+64+65+66+67+68)</w:t>
            </w:r>
          </w:p>
        </w:tc>
        <w:tc>
          <w:tcPr>
            <w:tcW w:w="700" w:type="dxa"/>
            <w:tcMar>
              <w:top w:w="0" w:type="dxa"/>
              <w:bottom w:w="0" w:type="dxa"/>
            </w:tcMar>
            <w:vAlign w:val="center"/>
          </w:tcPr>
          <w:p w:rsidR="00FC1AE5" w:rsidRDefault="006D147C">
            <w:pPr>
              <w:keepNext/>
              <w:keepLines/>
              <w:spacing w:after="0" w:line="240" w:lineRule="auto"/>
            </w:pPr>
            <w:r>
              <w:rPr>
                <w:sz w:val="18"/>
              </w:rPr>
              <w:t>6</w:t>
            </w:r>
          </w:p>
        </w:tc>
        <w:tc>
          <w:tcPr>
            <w:tcW w:w="1860" w:type="dxa"/>
            <w:tcMar>
              <w:top w:w="0" w:type="dxa"/>
              <w:bottom w:w="0" w:type="dxa"/>
            </w:tcMar>
            <w:vAlign w:val="center"/>
          </w:tcPr>
          <w:p w:rsidR="00FC1AE5" w:rsidRDefault="006D147C">
            <w:pPr>
              <w:keepNext/>
              <w:keepLines/>
              <w:spacing w:after="0" w:line="240" w:lineRule="auto"/>
              <w:jc w:val="right"/>
            </w:pPr>
            <w:r>
              <w:rPr>
                <w:sz w:val="18"/>
              </w:rPr>
              <w:t>1.603.065,71</w:t>
            </w:r>
          </w:p>
        </w:tc>
        <w:tc>
          <w:tcPr>
            <w:tcW w:w="1860" w:type="dxa"/>
            <w:tcMar>
              <w:top w:w="0" w:type="dxa"/>
              <w:bottom w:w="0" w:type="dxa"/>
            </w:tcMar>
            <w:vAlign w:val="center"/>
          </w:tcPr>
          <w:p w:rsidR="00FC1AE5" w:rsidRDefault="006D147C">
            <w:pPr>
              <w:keepNext/>
              <w:keepLines/>
              <w:spacing w:after="0" w:line="240" w:lineRule="auto"/>
              <w:jc w:val="right"/>
            </w:pPr>
            <w:r>
              <w:rPr>
                <w:sz w:val="18"/>
              </w:rPr>
              <w:t>1.966.068,54</w:t>
            </w:r>
          </w:p>
        </w:tc>
        <w:tc>
          <w:tcPr>
            <w:tcW w:w="700" w:type="dxa"/>
            <w:tcMar>
              <w:top w:w="0" w:type="dxa"/>
              <w:bottom w:w="0" w:type="dxa"/>
            </w:tcMar>
            <w:vAlign w:val="center"/>
          </w:tcPr>
          <w:p w:rsidR="00FC1AE5" w:rsidRDefault="006D147C">
            <w:pPr>
              <w:keepNext/>
              <w:keepLines/>
              <w:spacing w:after="0" w:line="240" w:lineRule="auto"/>
              <w:jc w:val="right"/>
            </w:pPr>
            <w:r>
              <w:rPr>
                <w:sz w:val="18"/>
              </w:rPr>
              <w:t>122,6</w:t>
            </w:r>
          </w:p>
        </w:tc>
      </w:tr>
    </w:tbl>
    <w:p w:rsidR="00FC1AE5" w:rsidRDefault="00FC1AE5">
      <w:pPr>
        <w:spacing w:after="0"/>
      </w:pPr>
    </w:p>
    <w:p w:rsidR="00FC1AE5" w:rsidRDefault="006D147C">
      <w:r>
        <w:t>Prihodi poslovanja (šifra  6) u izvještajnom razdoblju ostvareni su u iznosu od 1.966.068,54 EUR, što predstavlja povećanje od 22,6 % u odnosu na isto razdoblje prethodne godine.</w:t>
      </w:r>
    </w:p>
    <w:p w:rsidR="00FC1AE5" w:rsidRDefault="006D147C">
      <w:r>
        <w:t>U odnosu na prethodnu godinu, u 2025. godini došlo je do promjena u opsegu i strukturi pruženih usluga Zavoda, što se odrazilo na kretanje prihoda od prodaje proizvoda i usluga. Prihodi od pruženih usluga bilježe povećanje, pri čemu Odjel zdravstvene ekologije ima značajan doprinos u ukupnom rastu prihoda.</w:t>
      </w:r>
    </w:p>
    <w:p w:rsidR="00893821" w:rsidRDefault="00893821"/>
    <w:p w:rsidR="00FC1AE5" w:rsidRDefault="006D147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63</w:t>
            </w:r>
          </w:p>
        </w:tc>
        <w:tc>
          <w:tcPr>
            <w:tcW w:w="3180" w:type="dxa"/>
            <w:tcMar>
              <w:top w:w="0" w:type="dxa"/>
              <w:bottom w:w="0" w:type="dxa"/>
            </w:tcMar>
            <w:vAlign w:val="center"/>
          </w:tcPr>
          <w:p w:rsidR="00FC1AE5" w:rsidRDefault="006D147C">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FC1AE5" w:rsidRDefault="006D147C">
            <w:pPr>
              <w:keepNext/>
              <w:keepLines/>
              <w:spacing w:after="0" w:line="240" w:lineRule="auto"/>
            </w:pPr>
            <w:r>
              <w:rPr>
                <w:sz w:val="18"/>
              </w:rPr>
              <w:t>63</w:t>
            </w:r>
          </w:p>
        </w:tc>
        <w:tc>
          <w:tcPr>
            <w:tcW w:w="1860" w:type="dxa"/>
            <w:tcMar>
              <w:top w:w="0" w:type="dxa"/>
              <w:bottom w:w="0" w:type="dxa"/>
            </w:tcMar>
            <w:vAlign w:val="center"/>
          </w:tcPr>
          <w:p w:rsidR="00FC1AE5" w:rsidRDefault="006D147C">
            <w:pPr>
              <w:keepNext/>
              <w:keepLines/>
              <w:spacing w:after="0" w:line="240" w:lineRule="auto"/>
              <w:jc w:val="right"/>
            </w:pPr>
            <w:r>
              <w:rPr>
                <w:sz w:val="18"/>
              </w:rPr>
              <w:t>31.152,36</w:t>
            </w:r>
          </w:p>
        </w:tc>
        <w:tc>
          <w:tcPr>
            <w:tcW w:w="1860" w:type="dxa"/>
            <w:tcMar>
              <w:top w:w="0" w:type="dxa"/>
              <w:bottom w:w="0" w:type="dxa"/>
            </w:tcMar>
            <w:vAlign w:val="center"/>
          </w:tcPr>
          <w:p w:rsidR="00FC1AE5" w:rsidRDefault="006D147C">
            <w:pPr>
              <w:keepNext/>
              <w:keepLines/>
              <w:spacing w:after="0" w:line="240" w:lineRule="auto"/>
              <w:jc w:val="right"/>
            </w:pPr>
            <w:r>
              <w:rPr>
                <w:sz w:val="18"/>
              </w:rPr>
              <w:t>162.874,46</w:t>
            </w:r>
          </w:p>
        </w:tc>
        <w:tc>
          <w:tcPr>
            <w:tcW w:w="700" w:type="dxa"/>
            <w:tcMar>
              <w:top w:w="0" w:type="dxa"/>
              <w:bottom w:w="0" w:type="dxa"/>
            </w:tcMar>
            <w:vAlign w:val="center"/>
          </w:tcPr>
          <w:p w:rsidR="00FC1AE5" w:rsidRDefault="006D147C">
            <w:pPr>
              <w:keepNext/>
              <w:keepLines/>
              <w:spacing w:after="0" w:line="240" w:lineRule="auto"/>
              <w:jc w:val="right"/>
            </w:pPr>
            <w:r>
              <w:rPr>
                <w:sz w:val="18"/>
              </w:rPr>
              <w:t>522,8</w:t>
            </w:r>
          </w:p>
        </w:tc>
      </w:tr>
    </w:tbl>
    <w:p w:rsidR="00FC1AE5" w:rsidRDefault="00FC1AE5">
      <w:pPr>
        <w:spacing w:after="0"/>
      </w:pPr>
    </w:p>
    <w:p w:rsidR="00FC1AE5" w:rsidRDefault="006D147C">
      <w:r>
        <w:t>U izvještajnom razdoblju zabilježeno je značajno povećanje prihoda na stavci pomoći iz inozemstva i od subjekata unutar općeg proračuna (šifra 63), koji su u 2025. godini ostvareni u iznosu od 162.874,46 EUR, u odnosu na 31.152,36 EUR u prethodnoj godini.</w:t>
      </w:r>
    </w:p>
    <w:p w:rsidR="00FC1AE5" w:rsidRDefault="006D147C">
      <w:r>
        <w:t>Navedeno povećanje prvenstveno je rezultat knjiženja i evidentiranja nabave, distribucije i otpisa cjepiva sukladno Uputi za provođenje knjigovodstvenih evidencija nabave i distribucije cjepiva koju je donijelo Ministarstvo financija, a koja se u izvještajnom razdoblju odrazila na rast prihoda unutar navedene skupine.</w:t>
      </w:r>
    </w:p>
    <w:p w:rsidR="00FC1AE5" w:rsidRDefault="00FC1AE5"/>
    <w:p w:rsidR="00FC1AE5" w:rsidRDefault="006D147C">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64</w:t>
            </w:r>
          </w:p>
        </w:tc>
        <w:tc>
          <w:tcPr>
            <w:tcW w:w="3180" w:type="dxa"/>
            <w:tcMar>
              <w:top w:w="0" w:type="dxa"/>
              <w:bottom w:w="0" w:type="dxa"/>
            </w:tcMar>
            <w:vAlign w:val="center"/>
          </w:tcPr>
          <w:p w:rsidR="00FC1AE5" w:rsidRDefault="006D147C">
            <w:pPr>
              <w:keepNext/>
              <w:keepLines/>
              <w:spacing w:after="0" w:line="240" w:lineRule="auto"/>
            </w:pPr>
            <w:r>
              <w:rPr>
                <w:sz w:val="18"/>
              </w:rPr>
              <w:t>Prihodi od imovine (šifre 641+642+643)</w:t>
            </w:r>
          </w:p>
        </w:tc>
        <w:tc>
          <w:tcPr>
            <w:tcW w:w="700" w:type="dxa"/>
            <w:tcMar>
              <w:top w:w="0" w:type="dxa"/>
              <w:bottom w:w="0" w:type="dxa"/>
            </w:tcMar>
            <w:vAlign w:val="center"/>
          </w:tcPr>
          <w:p w:rsidR="00FC1AE5" w:rsidRDefault="006D147C">
            <w:pPr>
              <w:keepNext/>
              <w:keepLines/>
              <w:spacing w:after="0" w:line="240" w:lineRule="auto"/>
            </w:pPr>
            <w:r>
              <w:rPr>
                <w:sz w:val="18"/>
              </w:rPr>
              <w:t>64</w:t>
            </w:r>
          </w:p>
        </w:tc>
        <w:tc>
          <w:tcPr>
            <w:tcW w:w="1860" w:type="dxa"/>
            <w:tcMar>
              <w:top w:w="0" w:type="dxa"/>
              <w:bottom w:w="0" w:type="dxa"/>
            </w:tcMar>
            <w:vAlign w:val="center"/>
          </w:tcPr>
          <w:p w:rsidR="00FC1AE5" w:rsidRDefault="006D147C">
            <w:pPr>
              <w:keepNext/>
              <w:keepLines/>
              <w:spacing w:after="0" w:line="240" w:lineRule="auto"/>
              <w:jc w:val="right"/>
            </w:pPr>
            <w:r>
              <w:rPr>
                <w:sz w:val="18"/>
              </w:rPr>
              <w:t>28,75</w:t>
            </w:r>
          </w:p>
        </w:tc>
        <w:tc>
          <w:tcPr>
            <w:tcW w:w="1860" w:type="dxa"/>
            <w:tcMar>
              <w:top w:w="0" w:type="dxa"/>
              <w:bottom w:w="0" w:type="dxa"/>
            </w:tcMar>
            <w:vAlign w:val="center"/>
          </w:tcPr>
          <w:p w:rsidR="00FC1AE5" w:rsidRDefault="006D147C">
            <w:pPr>
              <w:keepNext/>
              <w:keepLines/>
              <w:spacing w:after="0" w:line="240" w:lineRule="auto"/>
              <w:jc w:val="right"/>
            </w:pPr>
            <w:r>
              <w:rPr>
                <w:sz w:val="18"/>
              </w:rPr>
              <w:t>1.472,43</w:t>
            </w:r>
          </w:p>
        </w:tc>
        <w:tc>
          <w:tcPr>
            <w:tcW w:w="700" w:type="dxa"/>
            <w:tcMar>
              <w:top w:w="0" w:type="dxa"/>
              <w:bottom w:w="0" w:type="dxa"/>
            </w:tcMar>
            <w:vAlign w:val="center"/>
          </w:tcPr>
          <w:p w:rsidR="00FC1AE5" w:rsidRDefault="006D147C">
            <w:pPr>
              <w:keepNext/>
              <w:keepLines/>
              <w:spacing w:after="0" w:line="240" w:lineRule="auto"/>
              <w:jc w:val="right"/>
            </w:pPr>
            <w:r>
              <w:rPr>
                <w:sz w:val="18"/>
              </w:rPr>
              <w:t>5121,5</w:t>
            </w:r>
          </w:p>
        </w:tc>
      </w:tr>
    </w:tbl>
    <w:p w:rsidR="00FC1AE5" w:rsidRDefault="00FC1AE5">
      <w:pPr>
        <w:spacing w:after="0"/>
      </w:pPr>
    </w:p>
    <w:p w:rsidR="00FC1AE5" w:rsidRDefault="006D147C">
      <w:r>
        <w:t>Prihodi od imovine (šifra 64), odnosno prihodi od zateznih kamata (šifra 6414), ostvareni su u izvještajnom razdoblju u iznosu od 1.469,37 EUR. Povećanje navedenih prihoda odnosi se na naplatu zateznih kamata po osnovi ranijih dospjelih potraživanja, naplaćenih putem ovršnog postupka.</w:t>
      </w:r>
    </w:p>
    <w:p w:rsidR="00FC1AE5" w:rsidRDefault="006D147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65</w:t>
            </w:r>
          </w:p>
        </w:tc>
        <w:tc>
          <w:tcPr>
            <w:tcW w:w="3180" w:type="dxa"/>
            <w:tcMar>
              <w:top w:w="0" w:type="dxa"/>
              <w:bottom w:w="0" w:type="dxa"/>
            </w:tcMar>
            <w:vAlign w:val="center"/>
          </w:tcPr>
          <w:p w:rsidR="00FC1AE5" w:rsidRDefault="006D147C">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FC1AE5" w:rsidRDefault="006D147C">
            <w:pPr>
              <w:keepNext/>
              <w:keepLines/>
              <w:spacing w:after="0" w:line="240" w:lineRule="auto"/>
            </w:pPr>
            <w:r>
              <w:rPr>
                <w:sz w:val="18"/>
              </w:rPr>
              <w:t>65</w:t>
            </w:r>
          </w:p>
        </w:tc>
        <w:tc>
          <w:tcPr>
            <w:tcW w:w="1860" w:type="dxa"/>
            <w:tcMar>
              <w:top w:w="0" w:type="dxa"/>
              <w:bottom w:w="0" w:type="dxa"/>
            </w:tcMar>
            <w:vAlign w:val="center"/>
          </w:tcPr>
          <w:p w:rsidR="00FC1AE5" w:rsidRDefault="006D147C">
            <w:pPr>
              <w:keepNext/>
              <w:keepLines/>
              <w:spacing w:after="0" w:line="240" w:lineRule="auto"/>
              <w:jc w:val="right"/>
            </w:pPr>
            <w:r>
              <w:rPr>
                <w:sz w:val="18"/>
              </w:rPr>
              <w:t>33.308,73</w:t>
            </w:r>
          </w:p>
        </w:tc>
        <w:tc>
          <w:tcPr>
            <w:tcW w:w="1860" w:type="dxa"/>
            <w:tcMar>
              <w:top w:w="0" w:type="dxa"/>
              <w:bottom w:w="0" w:type="dxa"/>
            </w:tcMar>
            <w:vAlign w:val="center"/>
          </w:tcPr>
          <w:p w:rsidR="00FC1AE5" w:rsidRDefault="006D147C">
            <w:pPr>
              <w:keepNext/>
              <w:keepLines/>
              <w:spacing w:after="0" w:line="240" w:lineRule="auto"/>
              <w:jc w:val="right"/>
            </w:pPr>
            <w:r>
              <w:rPr>
                <w:sz w:val="18"/>
              </w:rPr>
              <w:t>42.328,60</w:t>
            </w:r>
          </w:p>
        </w:tc>
        <w:tc>
          <w:tcPr>
            <w:tcW w:w="700" w:type="dxa"/>
            <w:tcMar>
              <w:top w:w="0" w:type="dxa"/>
              <w:bottom w:w="0" w:type="dxa"/>
            </w:tcMar>
            <w:vAlign w:val="center"/>
          </w:tcPr>
          <w:p w:rsidR="00FC1AE5" w:rsidRDefault="006D147C">
            <w:pPr>
              <w:keepNext/>
              <w:keepLines/>
              <w:spacing w:after="0" w:line="240" w:lineRule="auto"/>
              <w:jc w:val="right"/>
            </w:pPr>
            <w:r>
              <w:rPr>
                <w:sz w:val="18"/>
              </w:rPr>
              <w:t>127,1</w:t>
            </w:r>
          </w:p>
        </w:tc>
      </w:tr>
    </w:tbl>
    <w:p w:rsidR="00FC1AE5" w:rsidRDefault="00FC1AE5">
      <w:pPr>
        <w:spacing w:after="0"/>
      </w:pPr>
    </w:p>
    <w:p w:rsidR="00FC1AE5" w:rsidRDefault="006D147C">
      <w:r>
        <w:t>Prihodi od upravnih i administrativnih pristojbi, pristojbi po posebnim propisima i naknada (šifra 65) u izvještajnom razdoblju iznose 42.328,60 EUR te su veći za 27,1 % u odnosu na isto razdoblje prethodne godine. Povećanje navedenih prihoda rezultat je naplate dospjelih potraživanja po osnovi dopunskog zdravstvenog osiguranja na Odjelu mikrobiologije.</w:t>
      </w:r>
    </w:p>
    <w:p w:rsidR="00FC1AE5" w:rsidRDefault="00FC1AE5"/>
    <w:p w:rsidR="00FC1AE5" w:rsidRDefault="006D147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661</w:t>
            </w:r>
          </w:p>
        </w:tc>
        <w:tc>
          <w:tcPr>
            <w:tcW w:w="3180" w:type="dxa"/>
            <w:tcMar>
              <w:top w:w="0" w:type="dxa"/>
              <w:bottom w:w="0" w:type="dxa"/>
            </w:tcMar>
            <w:vAlign w:val="center"/>
          </w:tcPr>
          <w:p w:rsidR="00FC1AE5" w:rsidRDefault="006D147C">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FC1AE5" w:rsidRDefault="006D147C">
            <w:pPr>
              <w:keepNext/>
              <w:keepLines/>
              <w:spacing w:after="0" w:line="240" w:lineRule="auto"/>
            </w:pPr>
            <w:r>
              <w:rPr>
                <w:sz w:val="18"/>
              </w:rPr>
              <w:t>661</w:t>
            </w:r>
          </w:p>
        </w:tc>
        <w:tc>
          <w:tcPr>
            <w:tcW w:w="1860" w:type="dxa"/>
            <w:tcMar>
              <w:top w:w="0" w:type="dxa"/>
              <w:bottom w:w="0" w:type="dxa"/>
            </w:tcMar>
            <w:vAlign w:val="center"/>
          </w:tcPr>
          <w:p w:rsidR="00FC1AE5" w:rsidRDefault="006D147C">
            <w:pPr>
              <w:keepNext/>
              <w:keepLines/>
              <w:spacing w:after="0" w:line="240" w:lineRule="auto"/>
              <w:jc w:val="right"/>
            </w:pPr>
            <w:r>
              <w:rPr>
                <w:sz w:val="18"/>
              </w:rPr>
              <w:t>655.865,13</w:t>
            </w:r>
          </w:p>
        </w:tc>
        <w:tc>
          <w:tcPr>
            <w:tcW w:w="1860" w:type="dxa"/>
            <w:tcMar>
              <w:top w:w="0" w:type="dxa"/>
              <w:bottom w:w="0" w:type="dxa"/>
            </w:tcMar>
            <w:vAlign w:val="center"/>
          </w:tcPr>
          <w:p w:rsidR="00FC1AE5" w:rsidRDefault="006D147C">
            <w:pPr>
              <w:keepNext/>
              <w:keepLines/>
              <w:spacing w:after="0" w:line="240" w:lineRule="auto"/>
              <w:jc w:val="right"/>
            </w:pPr>
            <w:r>
              <w:rPr>
                <w:sz w:val="18"/>
              </w:rPr>
              <w:t>704.712,63</w:t>
            </w:r>
          </w:p>
        </w:tc>
        <w:tc>
          <w:tcPr>
            <w:tcW w:w="700" w:type="dxa"/>
            <w:tcMar>
              <w:top w:w="0" w:type="dxa"/>
              <w:bottom w:w="0" w:type="dxa"/>
            </w:tcMar>
            <w:vAlign w:val="center"/>
          </w:tcPr>
          <w:p w:rsidR="00FC1AE5" w:rsidRDefault="006D147C">
            <w:pPr>
              <w:keepNext/>
              <w:keepLines/>
              <w:spacing w:after="0" w:line="240" w:lineRule="auto"/>
              <w:jc w:val="right"/>
            </w:pPr>
            <w:r>
              <w:rPr>
                <w:sz w:val="18"/>
              </w:rPr>
              <w:t>107,4</w:t>
            </w:r>
          </w:p>
        </w:tc>
      </w:tr>
    </w:tbl>
    <w:p w:rsidR="00FC1AE5" w:rsidRDefault="00FC1AE5">
      <w:pPr>
        <w:spacing w:after="0"/>
      </w:pPr>
    </w:p>
    <w:p w:rsidR="00FC1AE5" w:rsidRDefault="006D147C">
      <w:r>
        <w:t xml:space="preserve">Unutar djelatnosti zdravstvene ekologije povećanje prihoda ostvareno je prvenstveno po osnovi naplate potraživanja iz prethodnih razdoblja, kao i podmirenja dugovanja od strane javnih ustanova koje su bile u postupku naplate. Unatoč prestanku pojedinih aktivnosti, u 2025. godini ostvaren je porast prihoda u odnosu na 2024. godinu. Tijekom 2025. godine nije provođen </w:t>
      </w:r>
      <w:proofErr w:type="spellStart"/>
      <w:r>
        <w:t>monitoring</w:t>
      </w:r>
      <w:proofErr w:type="spellEnd"/>
      <w:r>
        <w:t xml:space="preserve"> za Hrvatske vode d.d., koji je bio realiziran u 2024. godini, te su od siječnja 2025. godine obustavljene analize vode za ljudsku potrošnju na području Novalje, Senja i Karlobaga. Smanjenje prihoda iz navedenih aktivnosti nadoknađeno je povećanim opsegom drugih laboratorijskih usluga. Dodatno, dio prihoda ostvaren je uvođenjem analize na prisutnost bakterije </w:t>
      </w:r>
      <w:proofErr w:type="spellStart"/>
      <w:r>
        <w:t>Legionella</w:t>
      </w:r>
      <w:proofErr w:type="spellEnd"/>
      <w:r>
        <w:t>, koja se u prvoj polovici prethodne godine nije provodila.</w:t>
      </w:r>
    </w:p>
    <w:p w:rsidR="00FC1AE5" w:rsidRDefault="006D147C">
      <w:r>
        <w:t xml:space="preserve">U okviru HACCP planova subjekata koji posluju s hranom (SPH), tijekom 2025. godine analizirano je 274 uzorka vode za ljudsku potrošnju, što je 198 uzoraka više nego u 2024. </w:t>
      </w:r>
      <w:r>
        <w:lastRenderedPageBreak/>
        <w:t xml:space="preserve">godini. Povećanje broja uzoraka posljedica je naputka Ministarstva zdravstva prema kojem se voda više ne </w:t>
      </w:r>
      <w:proofErr w:type="spellStart"/>
      <w:r>
        <w:t>uzorkuje</w:t>
      </w:r>
      <w:proofErr w:type="spellEnd"/>
      <w:r>
        <w:t xml:space="preserve"> kod SPH, osim kod prioritetnih objekata.</w:t>
      </w:r>
    </w:p>
    <w:p w:rsidR="00FC1AE5" w:rsidRDefault="006D147C">
      <w:r>
        <w:t>Na području Županije u 2025. godini izvršena je analiza 262 uzorka bazenske vode, što predstavlja povećanje od 40 uzoraka u odnosu na 2024. godinu, kao rezultat pojačanog nadzora Državni inspektorat Republike Hrvatske tijekom ljetnih mjeseci.</w:t>
      </w:r>
    </w:p>
    <w:p w:rsidR="00FC1AE5" w:rsidRDefault="006D147C">
      <w:r>
        <w:t>U izvještajnom razdoblju evidentirano je da naplata pojedinih usluga nije realizirana unutar izvještajnog razdoblja sukladno ugovorenim rokovima plaćanja. Tijekom 2025. godine ispostavljen je račun za analize vode za ljudsku potrošnju, izvore i otpadne vode u iznosu od 47.081,40 EUR (bez PDV-a), koji do kraja izvještajnog razdoblja nije naplaćen.</w:t>
      </w:r>
    </w:p>
    <w:p w:rsidR="00FC1AE5" w:rsidRDefault="006D147C">
      <w:r>
        <w:t>U 2025. godini zabilježena je bolja naplata prihoda od DDD usluga u odnosu na prethodnu godinu, što je imalo pozitivan učinak na ukupne prihode od pruženih usluga. Istodobno je u djelatnosti epidemiologije ostvaren pad prihoda uslijed primjene odluke Ministarstva zdravstva, koja se primjenjuje od 1. srpnja 2024. godine, a kojom su cijene sanitarnih pregleda i tečaja higijenskog minimuma smanjene za 50 %, dok je u 2025. godini, u odnosu na 2024., na tržištu zabilježen porast broja izvršenih zdravstvenih usluga od približno 5 %.</w:t>
      </w:r>
    </w:p>
    <w:p w:rsidR="00FC1AE5" w:rsidRDefault="00FC1AE5"/>
    <w:p w:rsidR="00FC1AE5" w:rsidRDefault="006D147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67</w:t>
            </w:r>
          </w:p>
        </w:tc>
        <w:tc>
          <w:tcPr>
            <w:tcW w:w="3180" w:type="dxa"/>
            <w:tcMar>
              <w:top w:w="0" w:type="dxa"/>
              <w:bottom w:w="0" w:type="dxa"/>
            </w:tcMar>
            <w:vAlign w:val="center"/>
          </w:tcPr>
          <w:p w:rsidR="00FC1AE5" w:rsidRDefault="006D147C">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FC1AE5" w:rsidRDefault="006D147C">
            <w:pPr>
              <w:keepNext/>
              <w:keepLines/>
              <w:spacing w:after="0" w:line="240" w:lineRule="auto"/>
            </w:pPr>
            <w:r>
              <w:rPr>
                <w:sz w:val="18"/>
              </w:rPr>
              <w:t>67</w:t>
            </w:r>
          </w:p>
        </w:tc>
        <w:tc>
          <w:tcPr>
            <w:tcW w:w="1860" w:type="dxa"/>
            <w:tcMar>
              <w:top w:w="0" w:type="dxa"/>
              <w:bottom w:w="0" w:type="dxa"/>
            </w:tcMar>
            <w:vAlign w:val="center"/>
          </w:tcPr>
          <w:p w:rsidR="00FC1AE5" w:rsidRDefault="006D147C">
            <w:pPr>
              <w:keepNext/>
              <w:keepLines/>
              <w:spacing w:after="0" w:line="240" w:lineRule="auto"/>
              <w:jc w:val="right"/>
            </w:pPr>
            <w:r>
              <w:rPr>
                <w:sz w:val="18"/>
              </w:rPr>
              <w:t>882.710,74</w:t>
            </w:r>
          </w:p>
        </w:tc>
        <w:tc>
          <w:tcPr>
            <w:tcW w:w="1860" w:type="dxa"/>
            <w:tcMar>
              <w:top w:w="0" w:type="dxa"/>
              <w:bottom w:w="0" w:type="dxa"/>
            </w:tcMar>
            <w:vAlign w:val="center"/>
          </w:tcPr>
          <w:p w:rsidR="00FC1AE5" w:rsidRDefault="006D147C">
            <w:pPr>
              <w:keepNext/>
              <w:keepLines/>
              <w:spacing w:after="0" w:line="240" w:lineRule="auto"/>
              <w:jc w:val="right"/>
            </w:pPr>
            <w:r>
              <w:rPr>
                <w:sz w:val="18"/>
              </w:rPr>
              <w:t>1.054.680,42</w:t>
            </w:r>
          </w:p>
        </w:tc>
        <w:tc>
          <w:tcPr>
            <w:tcW w:w="700" w:type="dxa"/>
            <w:tcMar>
              <w:top w:w="0" w:type="dxa"/>
              <w:bottom w:w="0" w:type="dxa"/>
            </w:tcMar>
            <w:vAlign w:val="center"/>
          </w:tcPr>
          <w:p w:rsidR="00FC1AE5" w:rsidRDefault="006D147C">
            <w:pPr>
              <w:keepNext/>
              <w:keepLines/>
              <w:spacing w:after="0" w:line="240" w:lineRule="auto"/>
              <w:jc w:val="right"/>
            </w:pPr>
            <w:r>
              <w:rPr>
                <w:sz w:val="18"/>
              </w:rPr>
              <w:t>119,5</w:t>
            </w:r>
          </w:p>
        </w:tc>
      </w:tr>
    </w:tbl>
    <w:p w:rsidR="00FC1AE5" w:rsidRDefault="00FC1AE5">
      <w:pPr>
        <w:spacing w:after="0"/>
      </w:pPr>
    </w:p>
    <w:p w:rsidR="00FC1AE5" w:rsidRDefault="006D147C">
      <w:r>
        <w:t>Prihodi iz nadležnog proračuna i od HZZO-a na temelju ugovornih obveza (šifra 67) u izvještajnom razdoblju iznose 1.054.680,42 EUR, što predstavlja povećanje od 19,5% u odnosu na isto razdoblje prethodne godine. Povećanje se odnosi na viši mjesečni iznos glavarine uslijed usklađenja s povećanjem plaća, kao i na povećanje limita Odjela za mikrobiologiju zbog ugovaranja djelatnice na puno radno vrijeme. Obrazloženje za najamnine na 671.</w:t>
      </w:r>
    </w:p>
    <w:p w:rsidR="00FC1AE5" w:rsidRDefault="00FC1AE5"/>
    <w:p w:rsidR="00FC1AE5" w:rsidRDefault="006D147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671</w:t>
            </w:r>
          </w:p>
        </w:tc>
        <w:tc>
          <w:tcPr>
            <w:tcW w:w="3180" w:type="dxa"/>
            <w:tcMar>
              <w:top w:w="0" w:type="dxa"/>
              <w:bottom w:w="0" w:type="dxa"/>
            </w:tcMar>
            <w:vAlign w:val="center"/>
          </w:tcPr>
          <w:p w:rsidR="00FC1AE5" w:rsidRDefault="006D147C">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FC1AE5" w:rsidRDefault="006D147C">
            <w:pPr>
              <w:keepNext/>
              <w:keepLines/>
              <w:spacing w:after="0" w:line="240" w:lineRule="auto"/>
            </w:pPr>
            <w:r>
              <w:rPr>
                <w:sz w:val="18"/>
              </w:rPr>
              <w:t>671</w:t>
            </w:r>
          </w:p>
        </w:tc>
        <w:tc>
          <w:tcPr>
            <w:tcW w:w="1860" w:type="dxa"/>
            <w:tcMar>
              <w:top w:w="0" w:type="dxa"/>
              <w:bottom w:w="0" w:type="dxa"/>
            </w:tcMar>
            <w:vAlign w:val="center"/>
          </w:tcPr>
          <w:p w:rsidR="00FC1AE5" w:rsidRDefault="006D147C">
            <w:pPr>
              <w:keepNext/>
              <w:keepLines/>
              <w:spacing w:after="0" w:line="240" w:lineRule="auto"/>
              <w:jc w:val="right"/>
            </w:pPr>
            <w:r>
              <w:rPr>
                <w:sz w:val="18"/>
              </w:rPr>
              <w:t>46.246,58</w:t>
            </w:r>
          </w:p>
        </w:tc>
        <w:tc>
          <w:tcPr>
            <w:tcW w:w="1860" w:type="dxa"/>
            <w:tcMar>
              <w:top w:w="0" w:type="dxa"/>
              <w:bottom w:w="0" w:type="dxa"/>
            </w:tcMar>
            <w:vAlign w:val="center"/>
          </w:tcPr>
          <w:p w:rsidR="00FC1AE5" w:rsidRDefault="006D147C">
            <w:pPr>
              <w:keepNext/>
              <w:keepLines/>
              <w:spacing w:after="0" w:line="240" w:lineRule="auto"/>
              <w:jc w:val="right"/>
            </w:pPr>
            <w:r>
              <w:rPr>
                <w:sz w:val="18"/>
              </w:rPr>
              <w:t>64.558,02</w:t>
            </w:r>
          </w:p>
        </w:tc>
        <w:tc>
          <w:tcPr>
            <w:tcW w:w="700" w:type="dxa"/>
            <w:tcMar>
              <w:top w:w="0" w:type="dxa"/>
              <w:bottom w:w="0" w:type="dxa"/>
            </w:tcMar>
            <w:vAlign w:val="center"/>
          </w:tcPr>
          <w:p w:rsidR="00FC1AE5" w:rsidRDefault="006D147C">
            <w:pPr>
              <w:keepNext/>
              <w:keepLines/>
              <w:spacing w:after="0" w:line="240" w:lineRule="auto"/>
              <w:jc w:val="right"/>
            </w:pPr>
            <w:r>
              <w:rPr>
                <w:sz w:val="18"/>
              </w:rPr>
              <w:t>139,6</w:t>
            </w:r>
          </w:p>
        </w:tc>
      </w:tr>
    </w:tbl>
    <w:p w:rsidR="00FC1AE5" w:rsidRDefault="00FC1AE5">
      <w:pPr>
        <w:spacing w:after="0"/>
      </w:pPr>
    </w:p>
    <w:p w:rsidR="00FC1AE5" w:rsidRDefault="006D147C">
      <w:r>
        <w:t>Prihodi iz nadležnog proračuna za financiranje redovne djelatnosti proračunskih korisnika (šifra 671) u promatranom razdoblju ostvareni su u iznosu od 64.558,02 EUR.</w:t>
      </w:r>
    </w:p>
    <w:p w:rsidR="00FC1AE5" w:rsidRDefault="006D147C">
      <w:r>
        <w:lastRenderedPageBreak/>
        <w:t>Od navedenog iznosa, sredstva u iznosu od 6.000,00 EUR odnose se na sufinanciranje troškova najma stanova za zdravstvene djelatnike Zavod za javno zdravstvo Ličko-senjske županije, temeljem Sporazuma o sufinanciranju potpisanog s Ličko-senjskom županijom.</w:t>
      </w:r>
    </w:p>
    <w:p w:rsidR="00FC1AE5" w:rsidRDefault="006D147C">
      <w:r>
        <w:t>Sredstva za decentralizirane funkcije u razdoblju od 1. siječnja do 31. prosinca 2025. godine ostvarena su u iznosu od 48.558,02 EUR.</w:t>
      </w:r>
    </w:p>
    <w:p w:rsidR="00FC1AE5" w:rsidRDefault="006D147C">
      <w:r>
        <w:t xml:space="preserve">Preostali dio prihoda iz nadležnog proračuna ostvaren je u iznosu od 10.000,00 EUR, od čega se 7.807,50 EUR odnosi na sredstva doznačena za </w:t>
      </w:r>
      <w:proofErr w:type="spellStart"/>
      <w:r>
        <w:t>monitoring</w:t>
      </w:r>
      <w:proofErr w:type="spellEnd"/>
      <w:r>
        <w:t xml:space="preserve"> peludi (Bubanj), dok se 2.192,50 EUR odnosi na sredstva doznačena za nabavu potrošnog materijala bubnja za pelud, potrebnog za provedbu programa praćenja peludnih zrnaca.</w:t>
      </w:r>
    </w:p>
    <w:p w:rsidR="00FC1AE5" w:rsidRDefault="00FC1AE5"/>
    <w:p w:rsidR="00FC1AE5" w:rsidRDefault="006D147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31</w:t>
            </w:r>
          </w:p>
        </w:tc>
        <w:tc>
          <w:tcPr>
            <w:tcW w:w="3180" w:type="dxa"/>
            <w:tcMar>
              <w:top w:w="0" w:type="dxa"/>
              <w:bottom w:w="0" w:type="dxa"/>
            </w:tcMar>
            <w:vAlign w:val="center"/>
          </w:tcPr>
          <w:p w:rsidR="00FC1AE5" w:rsidRDefault="006D147C">
            <w:pPr>
              <w:keepNext/>
              <w:keepLines/>
              <w:spacing w:after="0" w:line="240" w:lineRule="auto"/>
            </w:pPr>
            <w:r>
              <w:rPr>
                <w:sz w:val="18"/>
              </w:rPr>
              <w:t>Rashodi za zaposlene (šifre 311+312+313)</w:t>
            </w:r>
          </w:p>
        </w:tc>
        <w:tc>
          <w:tcPr>
            <w:tcW w:w="700" w:type="dxa"/>
            <w:tcMar>
              <w:top w:w="0" w:type="dxa"/>
              <w:bottom w:w="0" w:type="dxa"/>
            </w:tcMar>
            <w:vAlign w:val="center"/>
          </w:tcPr>
          <w:p w:rsidR="00FC1AE5" w:rsidRDefault="006D147C">
            <w:pPr>
              <w:keepNext/>
              <w:keepLines/>
              <w:spacing w:after="0" w:line="240" w:lineRule="auto"/>
            </w:pPr>
            <w:r>
              <w:rPr>
                <w:sz w:val="18"/>
              </w:rPr>
              <w:t>31</w:t>
            </w:r>
          </w:p>
        </w:tc>
        <w:tc>
          <w:tcPr>
            <w:tcW w:w="1860" w:type="dxa"/>
            <w:tcMar>
              <w:top w:w="0" w:type="dxa"/>
              <w:bottom w:w="0" w:type="dxa"/>
            </w:tcMar>
            <w:vAlign w:val="center"/>
          </w:tcPr>
          <w:p w:rsidR="00FC1AE5" w:rsidRDefault="006D147C">
            <w:pPr>
              <w:keepNext/>
              <w:keepLines/>
              <w:spacing w:after="0" w:line="240" w:lineRule="auto"/>
              <w:jc w:val="right"/>
            </w:pPr>
            <w:r>
              <w:rPr>
                <w:sz w:val="18"/>
              </w:rPr>
              <w:t>1.112.736,34</w:t>
            </w:r>
          </w:p>
        </w:tc>
        <w:tc>
          <w:tcPr>
            <w:tcW w:w="1860" w:type="dxa"/>
            <w:tcMar>
              <w:top w:w="0" w:type="dxa"/>
              <w:bottom w:w="0" w:type="dxa"/>
            </w:tcMar>
            <w:vAlign w:val="center"/>
          </w:tcPr>
          <w:p w:rsidR="00FC1AE5" w:rsidRDefault="006D147C">
            <w:pPr>
              <w:keepNext/>
              <w:keepLines/>
              <w:spacing w:after="0" w:line="240" w:lineRule="auto"/>
              <w:jc w:val="right"/>
            </w:pPr>
            <w:r>
              <w:rPr>
                <w:sz w:val="18"/>
              </w:rPr>
              <w:t>1.214.367,50</w:t>
            </w:r>
          </w:p>
        </w:tc>
        <w:tc>
          <w:tcPr>
            <w:tcW w:w="700" w:type="dxa"/>
            <w:tcMar>
              <w:top w:w="0" w:type="dxa"/>
              <w:bottom w:w="0" w:type="dxa"/>
            </w:tcMar>
            <w:vAlign w:val="center"/>
          </w:tcPr>
          <w:p w:rsidR="00FC1AE5" w:rsidRDefault="006D147C">
            <w:pPr>
              <w:keepNext/>
              <w:keepLines/>
              <w:spacing w:after="0" w:line="240" w:lineRule="auto"/>
              <w:jc w:val="right"/>
            </w:pPr>
            <w:r>
              <w:rPr>
                <w:sz w:val="18"/>
              </w:rPr>
              <w:t>109,1</w:t>
            </w:r>
          </w:p>
        </w:tc>
      </w:tr>
    </w:tbl>
    <w:p w:rsidR="00FC1AE5" w:rsidRDefault="00FC1AE5">
      <w:pPr>
        <w:spacing w:after="0"/>
      </w:pPr>
    </w:p>
    <w:p w:rsidR="00FC1AE5" w:rsidRDefault="006D147C">
      <w:r>
        <w:t>Rashodi za zaposlene (šifra 31), uključujući plaće bruto (šifra 311), u 2025. godini povećani su u odnosu na prethodnu godinu prvenstveno zbog zapošljavanja dva doktora medicine, specijalista, na neodređeno vrijeme, radi popunjavanja upražnjenih radnih mjesta u timovima.</w:t>
      </w:r>
    </w:p>
    <w:p w:rsidR="00FC1AE5" w:rsidRDefault="006D147C">
      <w:r>
        <w:t>Dodatno, tijekom 2025. godine zaposlen je sezonski djelatnik na određeno vrijeme, što je također utjecalo na povećanje rashoda za zaposlene. Povećanje rashoda dijelom se odnosi i na usklađenje osnovice plaće tijekom godine, sukladno važećim propisima.</w:t>
      </w:r>
    </w:p>
    <w:p w:rsidR="00FC1AE5" w:rsidRDefault="00FC1AE5"/>
    <w:p w:rsidR="00FC1AE5" w:rsidRDefault="006D147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322</w:t>
            </w:r>
          </w:p>
        </w:tc>
        <w:tc>
          <w:tcPr>
            <w:tcW w:w="3180" w:type="dxa"/>
            <w:tcMar>
              <w:top w:w="0" w:type="dxa"/>
              <w:bottom w:w="0" w:type="dxa"/>
            </w:tcMar>
            <w:vAlign w:val="center"/>
          </w:tcPr>
          <w:p w:rsidR="00FC1AE5" w:rsidRDefault="006D147C">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FC1AE5" w:rsidRDefault="006D147C">
            <w:pPr>
              <w:keepNext/>
              <w:keepLines/>
              <w:spacing w:after="0" w:line="240" w:lineRule="auto"/>
            </w:pPr>
            <w:r>
              <w:rPr>
                <w:sz w:val="18"/>
              </w:rPr>
              <w:t>322</w:t>
            </w:r>
          </w:p>
        </w:tc>
        <w:tc>
          <w:tcPr>
            <w:tcW w:w="1860" w:type="dxa"/>
            <w:tcMar>
              <w:top w:w="0" w:type="dxa"/>
              <w:bottom w:w="0" w:type="dxa"/>
            </w:tcMar>
            <w:vAlign w:val="center"/>
          </w:tcPr>
          <w:p w:rsidR="00FC1AE5" w:rsidRDefault="006D147C">
            <w:pPr>
              <w:keepNext/>
              <w:keepLines/>
              <w:spacing w:after="0" w:line="240" w:lineRule="auto"/>
              <w:jc w:val="right"/>
            </w:pPr>
            <w:r>
              <w:rPr>
                <w:sz w:val="18"/>
              </w:rPr>
              <w:t>142.034,27</w:t>
            </w:r>
          </w:p>
        </w:tc>
        <w:tc>
          <w:tcPr>
            <w:tcW w:w="1860" w:type="dxa"/>
            <w:tcMar>
              <w:top w:w="0" w:type="dxa"/>
              <w:bottom w:w="0" w:type="dxa"/>
            </w:tcMar>
            <w:vAlign w:val="center"/>
          </w:tcPr>
          <w:p w:rsidR="00FC1AE5" w:rsidRDefault="006D147C">
            <w:pPr>
              <w:keepNext/>
              <w:keepLines/>
              <w:spacing w:after="0" w:line="240" w:lineRule="auto"/>
              <w:jc w:val="right"/>
            </w:pPr>
            <w:r>
              <w:rPr>
                <w:sz w:val="18"/>
              </w:rPr>
              <w:t>88.464,43</w:t>
            </w:r>
          </w:p>
        </w:tc>
        <w:tc>
          <w:tcPr>
            <w:tcW w:w="700" w:type="dxa"/>
            <w:tcMar>
              <w:top w:w="0" w:type="dxa"/>
              <w:bottom w:w="0" w:type="dxa"/>
            </w:tcMar>
            <w:vAlign w:val="center"/>
          </w:tcPr>
          <w:p w:rsidR="00FC1AE5" w:rsidRDefault="006D147C">
            <w:pPr>
              <w:keepNext/>
              <w:keepLines/>
              <w:spacing w:after="0" w:line="240" w:lineRule="auto"/>
              <w:jc w:val="right"/>
            </w:pPr>
            <w:r>
              <w:rPr>
                <w:sz w:val="18"/>
              </w:rPr>
              <w:t>62,3</w:t>
            </w:r>
          </w:p>
        </w:tc>
      </w:tr>
    </w:tbl>
    <w:p w:rsidR="00FC1AE5" w:rsidRDefault="00FC1AE5">
      <w:pPr>
        <w:spacing w:after="0"/>
      </w:pPr>
    </w:p>
    <w:p w:rsidR="00FC1AE5" w:rsidRDefault="006D147C">
      <w:r>
        <w:t>Materijalni rashodi (šifra 322) u izvještajnom razdoblju iznose 88.464,43 EUR, što predstavlja smanjenje od 62,3 % u odnosu na isto razdoblje 2024. godine. Rashodi se knjiže sukladno novom Pravilniku o računovodstvu, na osnovi utroška, na konto 3251. Djelomično smanjenje rezultat je i sustavnog praćenja te kontrole rashoda u cilju racionalizacije poslovanja.</w:t>
      </w:r>
    </w:p>
    <w:p w:rsidR="00FC1AE5" w:rsidRDefault="00FC1AE5"/>
    <w:p w:rsidR="00FC1AE5" w:rsidRDefault="006D147C">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323</w:t>
            </w:r>
          </w:p>
        </w:tc>
        <w:tc>
          <w:tcPr>
            <w:tcW w:w="3180" w:type="dxa"/>
            <w:tcMar>
              <w:top w:w="0" w:type="dxa"/>
              <w:bottom w:w="0" w:type="dxa"/>
            </w:tcMar>
            <w:vAlign w:val="center"/>
          </w:tcPr>
          <w:p w:rsidR="00FC1AE5" w:rsidRDefault="006D147C">
            <w:pPr>
              <w:keepNext/>
              <w:keepLines/>
              <w:spacing w:after="0" w:line="240" w:lineRule="auto"/>
            </w:pPr>
            <w:r>
              <w:rPr>
                <w:sz w:val="18"/>
              </w:rPr>
              <w:t>Rashodi za usluge (šifre 3231 do 3239)</w:t>
            </w:r>
          </w:p>
        </w:tc>
        <w:tc>
          <w:tcPr>
            <w:tcW w:w="700" w:type="dxa"/>
            <w:tcMar>
              <w:top w:w="0" w:type="dxa"/>
              <w:bottom w:w="0" w:type="dxa"/>
            </w:tcMar>
            <w:vAlign w:val="center"/>
          </w:tcPr>
          <w:p w:rsidR="00FC1AE5" w:rsidRDefault="006D147C">
            <w:pPr>
              <w:keepNext/>
              <w:keepLines/>
              <w:spacing w:after="0" w:line="240" w:lineRule="auto"/>
            </w:pPr>
            <w:r>
              <w:rPr>
                <w:sz w:val="18"/>
              </w:rPr>
              <w:t>323</w:t>
            </w:r>
          </w:p>
        </w:tc>
        <w:tc>
          <w:tcPr>
            <w:tcW w:w="1860" w:type="dxa"/>
            <w:tcMar>
              <w:top w:w="0" w:type="dxa"/>
              <w:bottom w:w="0" w:type="dxa"/>
            </w:tcMar>
            <w:vAlign w:val="center"/>
          </w:tcPr>
          <w:p w:rsidR="00FC1AE5" w:rsidRDefault="006D147C">
            <w:pPr>
              <w:keepNext/>
              <w:keepLines/>
              <w:spacing w:after="0" w:line="240" w:lineRule="auto"/>
              <w:jc w:val="right"/>
            </w:pPr>
            <w:r>
              <w:rPr>
                <w:sz w:val="18"/>
              </w:rPr>
              <w:t>339.254,86</w:t>
            </w:r>
          </w:p>
        </w:tc>
        <w:tc>
          <w:tcPr>
            <w:tcW w:w="1860" w:type="dxa"/>
            <w:tcMar>
              <w:top w:w="0" w:type="dxa"/>
              <w:bottom w:w="0" w:type="dxa"/>
            </w:tcMar>
            <w:vAlign w:val="center"/>
          </w:tcPr>
          <w:p w:rsidR="00FC1AE5" w:rsidRDefault="006D147C">
            <w:pPr>
              <w:keepNext/>
              <w:keepLines/>
              <w:spacing w:after="0" w:line="240" w:lineRule="auto"/>
              <w:jc w:val="right"/>
            </w:pPr>
            <w:r>
              <w:rPr>
                <w:sz w:val="18"/>
              </w:rPr>
              <w:t>353.225,42</w:t>
            </w:r>
          </w:p>
        </w:tc>
        <w:tc>
          <w:tcPr>
            <w:tcW w:w="700" w:type="dxa"/>
            <w:tcMar>
              <w:top w:w="0" w:type="dxa"/>
              <w:bottom w:w="0" w:type="dxa"/>
            </w:tcMar>
            <w:vAlign w:val="center"/>
          </w:tcPr>
          <w:p w:rsidR="00FC1AE5" w:rsidRDefault="006D147C">
            <w:pPr>
              <w:keepNext/>
              <w:keepLines/>
              <w:spacing w:after="0" w:line="240" w:lineRule="auto"/>
              <w:jc w:val="right"/>
            </w:pPr>
            <w:r>
              <w:rPr>
                <w:sz w:val="18"/>
              </w:rPr>
              <w:t>104,1</w:t>
            </w:r>
          </w:p>
        </w:tc>
      </w:tr>
    </w:tbl>
    <w:p w:rsidR="00FC1AE5" w:rsidRDefault="00FC1AE5">
      <w:pPr>
        <w:spacing w:after="0"/>
      </w:pPr>
    </w:p>
    <w:p w:rsidR="00FC1AE5" w:rsidRDefault="006D147C">
      <w:r>
        <w:t>Rashodi za usluge (šifra 323) iznose 353.225,42 EUR, što je povećanje od 4,1 % u odnosu na prethodno promatrano razdoblje. Povećanje se primarno odnosi na plaćanje usluga laboratorija Hrvatskog zavoda za javno zdravstvo i Nastavnog zavoda Rijeka za parametre koji se ne obrađuju u Zavodu, te se stoga šalju u navedene laboratorije. Povećanje rashoda u skladu je s dodatnim iskazanim prihodima Odjela Zdravstvene ekologije.</w:t>
      </w:r>
    </w:p>
    <w:p w:rsidR="00FC1AE5" w:rsidRDefault="00FC1AE5"/>
    <w:p w:rsidR="00FC1AE5" w:rsidRDefault="006D147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42</w:t>
            </w:r>
          </w:p>
        </w:tc>
        <w:tc>
          <w:tcPr>
            <w:tcW w:w="3180" w:type="dxa"/>
            <w:tcMar>
              <w:top w:w="0" w:type="dxa"/>
              <w:bottom w:w="0" w:type="dxa"/>
            </w:tcMar>
            <w:vAlign w:val="center"/>
          </w:tcPr>
          <w:p w:rsidR="00FC1AE5" w:rsidRDefault="006D147C">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FC1AE5" w:rsidRDefault="006D147C">
            <w:pPr>
              <w:keepNext/>
              <w:keepLines/>
              <w:spacing w:after="0" w:line="240" w:lineRule="auto"/>
            </w:pPr>
            <w:r>
              <w:rPr>
                <w:sz w:val="18"/>
              </w:rPr>
              <w:t>42</w:t>
            </w:r>
          </w:p>
        </w:tc>
        <w:tc>
          <w:tcPr>
            <w:tcW w:w="1860" w:type="dxa"/>
            <w:tcMar>
              <w:top w:w="0" w:type="dxa"/>
              <w:bottom w:w="0" w:type="dxa"/>
            </w:tcMar>
            <w:vAlign w:val="center"/>
          </w:tcPr>
          <w:p w:rsidR="00FC1AE5" w:rsidRDefault="006D147C">
            <w:pPr>
              <w:keepNext/>
              <w:keepLines/>
              <w:spacing w:after="0" w:line="240" w:lineRule="auto"/>
              <w:jc w:val="right"/>
            </w:pPr>
            <w:r>
              <w:rPr>
                <w:sz w:val="18"/>
              </w:rPr>
              <w:t>24.192,14</w:t>
            </w:r>
          </w:p>
        </w:tc>
        <w:tc>
          <w:tcPr>
            <w:tcW w:w="1860" w:type="dxa"/>
            <w:tcMar>
              <w:top w:w="0" w:type="dxa"/>
              <w:bottom w:w="0" w:type="dxa"/>
            </w:tcMar>
            <w:vAlign w:val="center"/>
          </w:tcPr>
          <w:p w:rsidR="00FC1AE5" w:rsidRDefault="006D147C">
            <w:pPr>
              <w:keepNext/>
              <w:keepLines/>
              <w:spacing w:after="0" w:line="240" w:lineRule="auto"/>
              <w:jc w:val="right"/>
            </w:pPr>
            <w:r>
              <w:rPr>
                <w:sz w:val="18"/>
              </w:rPr>
              <w:t>38.292,92</w:t>
            </w:r>
          </w:p>
        </w:tc>
        <w:tc>
          <w:tcPr>
            <w:tcW w:w="700" w:type="dxa"/>
            <w:tcMar>
              <w:top w:w="0" w:type="dxa"/>
              <w:bottom w:w="0" w:type="dxa"/>
            </w:tcMar>
            <w:vAlign w:val="center"/>
          </w:tcPr>
          <w:p w:rsidR="00FC1AE5" w:rsidRDefault="006D147C">
            <w:pPr>
              <w:keepNext/>
              <w:keepLines/>
              <w:spacing w:after="0" w:line="240" w:lineRule="auto"/>
              <w:jc w:val="right"/>
            </w:pPr>
            <w:r>
              <w:rPr>
                <w:sz w:val="18"/>
              </w:rPr>
              <w:t>158,3</w:t>
            </w:r>
          </w:p>
        </w:tc>
      </w:tr>
    </w:tbl>
    <w:p w:rsidR="00FC1AE5" w:rsidRDefault="00FC1AE5">
      <w:pPr>
        <w:spacing w:after="0"/>
      </w:pPr>
    </w:p>
    <w:p w:rsidR="00FC1AE5" w:rsidRDefault="006D147C">
      <w:r>
        <w:t xml:space="preserve">Rashodi za nabavu nefinancijske imovine (šifra 42) ostvareni su u iznosu od 38.292,82 EUR, što predstavlja povećanje od 58,3 % u odnosu na prethodno razdoblje. Povećanje se odnosi na nabavu medicinske i laboratorijske opreme, pri čemu je nabava laboratorijske opreme financirana sredstvima decentraliziranih funkcija, dok je nabava bubnja za </w:t>
      </w:r>
      <w:proofErr w:type="spellStart"/>
      <w:r>
        <w:t>monitoring</w:t>
      </w:r>
      <w:proofErr w:type="spellEnd"/>
      <w:r>
        <w:t xml:space="preserve"> peludi financirana sredstvima iz nadležnog proračuna.</w:t>
      </w:r>
    </w:p>
    <w:p w:rsidR="00FC1AE5" w:rsidRDefault="00FC1AE5"/>
    <w:p w:rsidR="00FC1AE5" w:rsidRDefault="006D147C">
      <w:pPr>
        <w:keepNext/>
        <w:spacing w:line="240" w:lineRule="auto"/>
        <w:jc w:val="center"/>
      </w:pPr>
      <w:r>
        <w:rPr>
          <w:b/>
          <w:sz w:val="28"/>
        </w:rPr>
        <w:t>Bilanca</w:t>
      </w:r>
    </w:p>
    <w:p w:rsidR="00FC1AE5" w:rsidRDefault="006D147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FC1AE5">
            <w:pPr>
              <w:keepNext/>
              <w:keepLines/>
              <w:spacing w:after="0" w:line="240" w:lineRule="auto"/>
            </w:pPr>
          </w:p>
        </w:tc>
        <w:tc>
          <w:tcPr>
            <w:tcW w:w="3180" w:type="dxa"/>
            <w:tcMar>
              <w:top w:w="0" w:type="dxa"/>
              <w:bottom w:w="0" w:type="dxa"/>
            </w:tcMar>
            <w:vAlign w:val="center"/>
          </w:tcPr>
          <w:p w:rsidR="00FC1AE5" w:rsidRDefault="006D147C">
            <w:pPr>
              <w:keepNext/>
              <w:keepLines/>
              <w:spacing w:after="0" w:line="240" w:lineRule="auto"/>
            </w:pPr>
            <w:r>
              <w:rPr>
                <w:sz w:val="18"/>
              </w:rPr>
              <w:t>IMOVINA (šifre B002+1)</w:t>
            </w:r>
          </w:p>
        </w:tc>
        <w:tc>
          <w:tcPr>
            <w:tcW w:w="700" w:type="dxa"/>
            <w:tcMar>
              <w:top w:w="0" w:type="dxa"/>
              <w:bottom w:w="0" w:type="dxa"/>
            </w:tcMar>
            <w:vAlign w:val="center"/>
          </w:tcPr>
          <w:p w:rsidR="00FC1AE5" w:rsidRDefault="006D147C">
            <w:pPr>
              <w:keepNext/>
              <w:keepLines/>
              <w:spacing w:after="0" w:line="240" w:lineRule="auto"/>
            </w:pPr>
            <w:r>
              <w:rPr>
                <w:sz w:val="18"/>
              </w:rPr>
              <w:t>B001</w:t>
            </w:r>
          </w:p>
        </w:tc>
        <w:tc>
          <w:tcPr>
            <w:tcW w:w="1860" w:type="dxa"/>
            <w:tcMar>
              <w:top w:w="0" w:type="dxa"/>
              <w:bottom w:w="0" w:type="dxa"/>
            </w:tcMar>
            <w:vAlign w:val="center"/>
          </w:tcPr>
          <w:p w:rsidR="00FC1AE5" w:rsidRDefault="006D147C">
            <w:pPr>
              <w:keepNext/>
              <w:keepLines/>
              <w:spacing w:after="0" w:line="240" w:lineRule="auto"/>
              <w:jc w:val="right"/>
            </w:pPr>
            <w:r>
              <w:rPr>
                <w:sz w:val="18"/>
              </w:rPr>
              <w:t>595.112,77</w:t>
            </w:r>
          </w:p>
        </w:tc>
        <w:tc>
          <w:tcPr>
            <w:tcW w:w="1860" w:type="dxa"/>
            <w:tcMar>
              <w:top w:w="0" w:type="dxa"/>
              <w:bottom w:w="0" w:type="dxa"/>
            </w:tcMar>
            <w:vAlign w:val="center"/>
          </w:tcPr>
          <w:p w:rsidR="00FC1AE5" w:rsidRDefault="006D147C">
            <w:pPr>
              <w:keepNext/>
              <w:keepLines/>
              <w:spacing w:after="0" w:line="240" w:lineRule="auto"/>
              <w:jc w:val="right"/>
            </w:pPr>
            <w:r>
              <w:rPr>
                <w:sz w:val="18"/>
              </w:rPr>
              <w:t>678.414,62</w:t>
            </w:r>
          </w:p>
        </w:tc>
        <w:tc>
          <w:tcPr>
            <w:tcW w:w="700" w:type="dxa"/>
            <w:tcMar>
              <w:top w:w="0" w:type="dxa"/>
              <w:bottom w:w="0" w:type="dxa"/>
            </w:tcMar>
            <w:vAlign w:val="center"/>
          </w:tcPr>
          <w:p w:rsidR="00FC1AE5" w:rsidRDefault="006D147C">
            <w:pPr>
              <w:keepNext/>
              <w:keepLines/>
              <w:spacing w:after="0" w:line="240" w:lineRule="auto"/>
              <w:jc w:val="right"/>
            </w:pPr>
            <w:r>
              <w:rPr>
                <w:sz w:val="18"/>
              </w:rPr>
              <w:t>114,0</w:t>
            </w:r>
          </w:p>
        </w:tc>
      </w:tr>
    </w:tbl>
    <w:p w:rsidR="00FC1AE5" w:rsidRDefault="00FC1AE5">
      <w:pPr>
        <w:spacing w:after="0"/>
      </w:pPr>
    </w:p>
    <w:p w:rsidR="00FC1AE5" w:rsidRDefault="006D147C">
      <w:r>
        <w:t>Ukupna vrijednost imovine Zavoda na dan 31. prosinca 2025. godine iznosi 678.414,62 EUR, što predstavlja povećanje od 14,0 % u odnosu na prethodnu godinu, kada je iznosila 595.112,77 EUR.</w:t>
      </w:r>
    </w:p>
    <w:p w:rsidR="00FC1AE5" w:rsidRDefault="00FC1AE5"/>
    <w:p w:rsidR="00FC1AE5" w:rsidRDefault="006D147C">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0</w:t>
            </w:r>
          </w:p>
        </w:tc>
        <w:tc>
          <w:tcPr>
            <w:tcW w:w="3180" w:type="dxa"/>
            <w:tcMar>
              <w:top w:w="0" w:type="dxa"/>
              <w:bottom w:w="0" w:type="dxa"/>
            </w:tcMar>
            <w:vAlign w:val="center"/>
          </w:tcPr>
          <w:p w:rsidR="00FC1AE5" w:rsidRDefault="006D147C">
            <w:pPr>
              <w:keepNext/>
              <w:keepLines/>
              <w:spacing w:after="0" w:line="240" w:lineRule="auto"/>
            </w:pPr>
            <w:r>
              <w:rPr>
                <w:sz w:val="18"/>
              </w:rPr>
              <w:t>Nefinancijska imovina (šifre 01+02+03+04+05+06)</w:t>
            </w:r>
          </w:p>
        </w:tc>
        <w:tc>
          <w:tcPr>
            <w:tcW w:w="700" w:type="dxa"/>
            <w:tcMar>
              <w:top w:w="0" w:type="dxa"/>
              <w:bottom w:w="0" w:type="dxa"/>
            </w:tcMar>
            <w:vAlign w:val="center"/>
          </w:tcPr>
          <w:p w:rsidR="00FC1AE5" w:rsidRDefault="006D147C">
            <w:pPr>
              <w:keepNext/>
              <w:keepLines/>
              <w:spacing w:after="0" w:line="240" w:lineRule="auto"/>
            </w:pPr>
            <w:r>
              <w:rPr>
                <w:sz w:val="18"/>
              </w:rPr>
              <w:t>B002</w:t>
            </w:r>
          </w:p>
        </w:tc>
        <w:tc>
          <w:tcPr>
            <w:tcW w:w="1860" w:type="dxa"/>
            <w:tcMar>
              <w:top w:w="0" w:type="dxa"/>
              <w:bottom w:w="0" w:type="dxa"/>
            </w:tcMar>
            <w:vAlign w:val="center"/>
          </w:tcPr>
          <w:p w:rsidR="00FC1AE5" w:rsidRDefault="006D147C">
            <w:pPr>
              <w:keepNext/>
              <w:keepLines/>
              <w:spacing w:after="0" w:line="240" w:lineRule="auto"/>
              <w:jc w:val="right"/>
            </w:pPr>
            <w:r>
              <w:rPr>
                <w:sz w:val="18"/>
              </w:rPr>
              <w:t>183.716,97</w:t>
            </w:r>
          </w:p>
        </w:tc>
        <w:tc>
          <w:tcPr>
            <w:tcW w:w="1860" w:type="dxa"/>
            <w:tcMar>
              <w:top w:w="0" w:type="dxa"/>
              <w:bottom w:w="0" w:type="dxa"/>
            </w:tcMar>
            <w:vAlign w:val="center"/>
          </w:tcPr>
          <w:p w:rsidR="00FC1AE5" w:rsidRDefault="006D147C">
            <w:pPr>
              <w:keepNext/>
              <w:keepLines/>
              <w:spacing w:after="0" w:line="240" w:lineRule="auto"/>
              <w:jc w:val="right"/>
            </w:pPr>
            <w:r>
              <w:rPr>
                <w:sz w:val="18"/>
              </w:rPr>
              <w:t>229.401,21</w:t>
            </w:r>
          </w:p>
        </w:tc>
        <w:tc>
          <w:tcPr>
            <w:tcW w:w="700" w:type="dxa"/>
            <w:tcMar>
              <w:top w:w="0" w:type="dxa"/>
              <w:bottom w:w="0" w:type="dxa"/>
            </w:tcMar>
            <w:vAlign w:val="center"/>
          </w:tcPr>
          <w:p w:rsidR="00FC1AE5" w:rsidRDefault="006D147C">
            <w:pPr>
              <w:keepNext/>
              <w:keepLines/>
              <w:spacing w:after="0" w:line="240" w:lineRule="auto"/>
              <w:jc w:val="right"/>
            </w:pPr>
            <w:r>
              <w:rPr>
                <w:sz w:val="18"/>
              </w:rPr>
              <w:t>124,9</w:t>
            </w:r>
          </w:p>
        </w:tc>
      </w:tr>
    </w:tbl>
    <w:p w:rsidR="00FC1AE5" w:rsidRDefault="00FC1AE5">
      <w:pPr>
        <w:spacing w:after="0"/>
      </w:pPr>
    </w:p>
    <w:p w:rsidR="00FC1AE5" w:rsidRDefault="006D147C">
      <w:r>
        <w:t>Vrijednost nefinancijske imovine na dan 31. prosinca 2025. godine iznosi 229.401,21 EUR, što je povećanje od 24,9 % u odnosu na stanje na dan 31. prosinca 2024. godine, kada je iznosila 183.716,97 EUR.</w:t>
      </w:r>
    </w:p>
    <w:p w:rsidR="00FC1AE5" w:rsidRDefault="006D147C">
      <w:r>
        <w:t>Povećanje vrijednosti nefinancijske imovine rezultat je nabave dugotrajne imovine tijekom izvještajnog razdoblja, kao i ulaganja u postojeću imovinu, sukladno potrebama redovnog poslovanja Zavoda.</w:t>
      </w:r>
    </w:p>
    <w:p w:rsidR="00FC1AE5" w:rsidRDefault="00FC1AE5"/>
    <w:p w:rsidR="00FC1AE5" w:rsidRDefault="006D147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0222</w:t>
            </w:r>
          </w:p>
        </w:tc>
        <w:tc>
          <w:tcPr>
            <w:tcW w:w="3180" w:type="dxa"/>
            <w:tcMar>
              <w:top w:w="0" w:type="dxa"/>
              <w:bottom w:w="0" w:type="dxa"/>
            </w:tcMar>
            <w:vAlign w:val="center"/>
          </w:tcPr>
          <w:p w:rsidR="00FC1AE5" w:rsidRDefault="006D147C">
            <w:pPr>
              <w:keepNext/>
              <w:keepLines/>
              <w:spacing w:after="0" w:line="240" w:lineRule="auto"/>
            </w:pPr>
            <w:r>
              <w:rPr>
                <w:sz w:val="18"/>
              </w:rPr>
              <w:t>Komunikacijska oprema</w:t>
            </w:r>
          </w:p>
        </w:tc>
        <w:tc>
          <w:tcPr>
            <w:tcW w:w="700" w:type="dxa"/>
            <w:tcMar>
              <w:top w:w="0" w:type="dxa"/>
              <w:bottom w:w="0" w:type="dxa"/>
            </w:tcMar>
            <w:vAlign w:val="center"/>
          </w:tcPr>
          <w:p w:rsidR="00FC1AE5" w:rsidRDefault="006D147C">
            <w:pPr>
              <w:keepNext/>
              <w:keepLines/>
              <w:spacing w:after="0" w:line="240" w:lineRule="auto"/>
            </w:pPr>
            <w:r>
              <w:rPr>
                <w:sz w:val="18"/>
              </w:rPr>
              <w:t>0222</w:t>
            </w:r>
          </w:p>
        </w:tc>
        <w:tc>
          <w:tcPr>
            <w:tcW w:w="1860" w:type="dxa"/>
            <w:tcMar>
              <w:top w:w="0" w:type="dxa"/>
              <w:bottom w:w="0" w:type="dxa"/>
            </w:tcMar>
            <w:vAlign w:val="center"/>
          </w:tcPr>
          <w:p w:rsidR="00FC1AE5" w:rsidRDefault="006D147C">
            <w:pPr>
              <w:keepNext/>
              <w:keepLines/>
              <w:spacing w:after="0" w:line="240" w:lineRule="auto"/>
              <w:jc w:val="right"/>
            </w:pPr>
            <w:r>
              <w:rPr>
                <w:sz w:val="18"/>
              </w:rPr>
              <w:t>429,89</w:t>
            </w:r>
          </w:p>
        </w:tc>
        <w:tc>
          <w:tcPr>
            <w:tcW w:w="1860" w:type="dxa"/>
            <w:tcMar>
              <w:top w:w="0" w:type="dxa"/>
              <w:bottom w:w="0" w:type="dxa"/>
            </w:tcMar>
            <w:vAlign w:val="center"/>
          </w:tcPr>
          <w:p w:rsidR="00FC1AE5" w:rsidRDefault="006D147C">
            <w:pPr>
              <w:keepNext/>
              <w:keepLines/>
              <w:spacing w:after="0" w:line="240" w:lineRule="auto"/>
              <w:jc w:val="right"/>
            </w:pPr>
            <w:r>
              <w:rPr>
                <w:sz w:val="18"/>
              </w:rPr>
              <w:t>4.172,64</w:t>
            </w:r>
          </w:p>
        </w:tc>
        <w:tc>
          <w:tcPr>
            <w:tcW w:w="700" w:type="dxa"/>
            <w:tcMar>
              <w:top w:w="0" w:type="dxa"/>
              <w:bottom w:w="0" w:type="dxa"/>
            </w:tcMar>
            <w:vAlign w:val="center"/>
          </w:tcPr>
          <w:p w:rsidR="00FC1AE5" w:rsidRDefault="006D147C">
            <w:pPr>
              <w:keepNext/>
              <w:keepLines/>
              <w:spacing w:after="0" w:line="240" w:lineRule="auto"/>
              <w:jc w:val="right"/>
            </w:pPr>
            <w:r>
              <w:rPr>
                <w:sz w:val="18"/>
              </w:rPr>
              <w:t>970,6</w:t>
            </w:r>
          </w:p>
        </w:tc>
      </w:tr>
    </w:tbl>
    <w:p w:rsidR="00FC1AE5" w:rsidRDefault="00FC1AE5">
      <w:pPr>
        <w:spacing w:after="0"/>
      </w:pPr>
    </w:p>
    <w:p w:rsidR="00FC1AE5" w:rsidRDefault="006D147C">
      <w:r>
        <w:t>U 2025.godini putem ugovora nabavljena je nova komunikacijska oprema (mobilni uređaji) za potrebe djelatnika Zavoda.</w:t>
      </w:r>
    </w:p>
    <w:p w:rsidR="00FC1AE5" w:rsidRDefault="00FC1AE5"/>
    <w:p w:rsidR="00FC1AE5" w:rsidRDefault="006D147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06</w:t>
            </w:r>
          </w:p>
        </w:tc>
        <w:tc>
          <w:tcPr>
            <w:tcW w:w="3180" w:type="dxa"/>
            <w:tcMar>
              <w:top w:w="0" w:type="dxa"/>
              <w:bottom w:w="0" w:type="dxa"/>
            </w:tcMar>
            <w:vAlign w:val="center"/>
          </w:tcPr>
          <w:p w:rsidR="00FC1AE5" w:rsidRDefault="006D147C">
            <w:pPr>
              <w:keepNext/>
              <w:keepLines/>
              <w:spacing w:after="0" w:line="240" w:lineRule="auto"/>
            </w:pPr>
            <w:r>
              <w:rPr>
                <w:sz w:val="18"/>
              </w:rPr>
              <w:t>Proizvedena kratkotrajna imovina (šifre 061 do 065)</w:t>
            </w:r>
          </w:p>
        </w:tc>
        <w:tc>
          <w:tcPr>
            <w:tcW w:w="700" w:type="dxa"/>
            <w:tcMar>
              <w:top w:w="0" w:type="dxa"/>
              <w:bottom w:w="0" w:type="dxa"/>
            </w:tcMar>
            <w:vAlign w:val="center"/>
          </w:tcPr>
          <w:p w:rsidR="00FC1AE5" w:rsidRDefault="006D147C">
            <w:pPr>
              <w:keepNext/>
              <w:keepLines/>
              <w:spacing w:after="0" w:line="240" w:lineRule="auto"/>
            </w:pPr>
            <w:r>
              <w:rPr>
                <w:sz w:val="18"/>
              </w:rPr>
              <w:t>06</w:t>
            </w:r>
          </w:p>
        </w:tc>
        <w:tc>
          <w:tcPr>
            <w:tcW w:w="1860" w:type="dxa"/>
            <w:tcMar>
              <w:top w:w="0" w:type="dxa"/>
              <w:bottom w:w="0" w:type="dxa"/>
            </w:tcMar>
            <w:vAlign w:val="center"/>
          </w:tcPr>
          <w:p w:rsidR="00FC1AE5" w:rsidRDefault="006D147C">
            <w:pPr>
              <w:keepNext/>
              <w:keepLines/>
              <w:spacing w:after="0" w:line="240" w:lineRule="auto"/>
              <w:jc w:val="right"/>
            </w:pPr>
            <w:r>
              <w:rPr>
                <w:sz w:val="18"/>
              </w:rPr>
              <w:t>14.496,79</w:t>
            </w:r>
          </w:p>
        </w:tc>
        <w:tc>
          <w:tcPr>
            <w:tcW w:w="1860" w:type="dxa"/>
            <w:tcMar>
              <w:top w:w="0" w:type="dxa"/>
              <w:bottom w:w="0" w:type="dxa"/>
            </w:tcMar>
            <w:vAlign w:val="center"/>
          </w:tcPr>
          <w:p w:rsidR="00FC1AE5" w:rsidRDefault="006D147C">
            <w:pPr>
              <w:keepNext/>
              <w:keepLines/>
              <w:spacing w:after="0" w:line="240" w:lineRule="auto"/>
              <w:jc w:val="right"/>
            </w:pPr>
            <w:r>
              <w:rPr>
                <w:sz w:val="18"/>
              </w:rPr>
              <w:t>67.306,80</w:t>
            </w:r>
          </w:p>
        </w:tc>
        <w:tc>
          <w:tcPr>
            <w:tcW w:w="700" w:type="dxa"/>
            <w:tcMar>
              <w:top w:w="0" w:type="dxa"/>
              <w:bottom w:w="0" w:type="dxa"/>
            </w:tcMar>
            <w:vAlign w:val="center"/>
          </w:tcPr>
          <w:p w:rsidR="00FC1AE5" w:rsidRDefault="006D147C">
            <w:pPr>
              <w:keepNext/>
              <w:keepLines/>
              <w:spacing w:after="0" w:line="240" w:lineRule="auto"/>
              <w:jc w:val="right"/>
            </w:pPr>
            <w:r>
              <w:rPr>
                <w:sz w:val="18"/>
              </w:rPr>
              <w:t>464,3</w:t>
            </w:r>
          </w:p>
        </w:tc>
      </w:tr>
    </w:tbl>
    <w:p w:rsidR="00FC1AE5" w:rsidRDefault="00FC1AE5">
      <w:pPr>
        <w:spacing w:after="0"/>
      </w:pPr>
    </w:p>
    <w:p w:rsidR="00FC1AE5" w:rsidRDefault="006D147C">
      <w:r>
        <w:t>Povećanje vrijednosti proizvedene kratkotrajne imovine tijekom izvještajnog razdoblja rezultat je povećanih zaliha cjepiva, sukladno uputi Ministarstva financija, vezane uz provedbu distribucije cjepiva.</w:t>
      </w:r>
    </w:p>
    <w:p w:rsidR="00FC1AE5" w:rsidRDefault="00FC1AE5"/>
    <w:p w:rsidR="00FC1AE5" w:rsidRDefault="006D147C">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16</w:t>
            </w:r>
          </w:p>
        </w:tc>
        <w:tc>
          <w:tcPr>
            <w:tcW w:w="3180" w:type="dxa"/>
            <w:tcMar>
              <w:top w:w="0" w:type="dxa"/>
              <w:bottom w:w="0" w:type="dxa"/>
            </w:tcMar>
            <w:vAlign w:val="center"/>
          </w:tcPr>
          <w:p w:rsidR="00FC1AE5" w:rsidRDefault="006D147C">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FC1AE5" w:rsidRDefault="006D147C">
            <w:pPr>
              <w:keepNext/>
              <w:keepLines/>
              <w:spacing w:after="0" w:line="240" w:lineRule="auto"/>
            </w:pPr>
            <w:r>
              <w:rPr>
                <w:sz w:val="18"/>
              </w:rPr>
              <w:t>16</w:t>
            </w:r>
          </w:p>
        </w:tc>
        <w:tc>
          <w:tcPr>
            <w:tcW w:w="1860" w:type="dxa"/>
            <w:tcMar>
              <w:top w:w="0" w:type="dxa"/>
              <w:bottom w:w="0" w:type="dxa"/>
            </w:tcMar>
            <w:vAlign w:val="center"/>
          </w:tcPr>
          <w:p w:rsidR="00FC1AE5" w:rsidRDefault="006D147C">
            <w:pPr>
              <w:keepNext/>
              <w:keepLines/>
              <w:spacing w:after="0" w:line="240" w:lineRule="auto"/>
              <w:jc w:val="right"/>
            </w:pPr>
            <w:r>
              <w:rPr>
                <w:sz w:val="18"/>
              </w:rPr>
              <w:t>167.601,57</w:t>
            </w:r>
          </w:p>
        </w:tc>
        <w:tc>
          <w:tcPr>
            <w:tcW w:w="1860" w:type="dxa"/>
            <w:tcMar>
              <w:top w:w="0" w:type="dxa"/>
              <w:bottom w:w="0" w:type="dxa"/>
            </w:tcMar>
            <w:vAlign w:val="center"/>
          </w:tcPr>
          <w:p w:rsidR="00FC1AE5" w:rsidRDefault="006D147C">
            <w:pPr>
              <w:keepNext/>
              <w:keepLines/>
              <w:spacing w:after="0" w:line="240" w:lineRule="auto"/>
              <w:jc w:val="right"/>
            </w:pPr>
            <w:r>
              <w:rPr>
                <w:sz w:val="18"/>
              </w:rPr>
              <w:t>239.504,02</w:t>
            </w:r>
          </w:p>
        </w:tc>
        <w:tc>
          <w:tcPr>
            <w:tcW w:w="700" w:type="dxa"/>
            <w:tcMar>
              <w:top w:w="0" w:type="dxa"/>
              <w:bottom w:w="0" w:type="dxa"/>
            </w:tcMar>
            <w:vAlign w:val="center"/>
          </w:tcPr>
          <w:p w:rsidR="00FC1AE5" w:rsidRDefault="006D147C">
            <w:pPr>
              <w:keepNext/>
              <w:keepLines/>
              <w:spacing w:after="0" w:line="240" w:lineRule="auto"/>
              <w:jc w:val="right"/>
            </w:pPr>
            <w:r>
              <w:rPr>
                <w:sz w:val="18"/>
              </w:rPr>
              <w:t>142,9</w:t>
            </w:r>
          </w:p>
        </w:tc>
      </w:tr>
    </w:tbl>
    <w:p w:rsidR="00FC1AE5" w:rsidRDefault="00FC1AE5">
      <w:pPr>
        <w:spacing w:after="0"/>
      </w:pPr>
    </w:p>
    <w:p w:rsidR="00FC1AE5" w:rsidRDefault="006D147C">
      <w:r>
        <w:t>Povećani iznos potraživanja odnosi se na dospjela potraživanja prema komunalnim poduzećima i javnim ustanovama, čiju naplatu očekujemo u prvom tromjesečju 2026. godine.</w:t>
      </w:r>
    </w:p>
    <w:p w:rsidR="00FC1AE5" w:rsidRDefault="006D147C">
      <w:r>
        <w:t>Najveća dospjela potraživanja bilježe se od Ličkih voda d.o.o. u iznosu od 58.851,75 EUR te od Opće bolnice Gospić u iznosu od 43.886,69 EUR.</w:t>
      </w:r>
    </w:p>
    <w:p w:rsidR="00FC1AE5" w:rsidRDefault="006D147C">
      <w:r>
        <w:t>Zavod kontinuirano prati naplatu potraživanja te provodi mjere nadzora nad obveznicima plaćanja, uključujući slanje opomena i pokretanje ovršnih postupaka, u skladu s važećim propisima.</w:t>
      </w:r>
    </w:p>
    <w:p w:rsidR="00FC1AE5" w:rsidRDefault="00FC1AE5"/>
    <w:p w:rsidR="00FC1AE5" w:rsidRDefault="006D147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996</w:t>
            </w:r>
          </w:p>
        </w:tc>
        <w:tc>
          <w:tcPr>
            <w:tcW w:w="3180" w:type="dxa"/>
            <w:tcMar>
              <w:top w:w="0" w:type="dxa"/>
              <w:bottom w:w="0" w:type="dxa"/>
            </w:tcMar>
            <w:vAlign w:val="center"/>
          </w:tcPr>
          <w:p w:rsidR="00FC1AE5" w:rsidRDefault="006D147C">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rsidR="00FC1AE5" w:rsidRDefault="006D147C">
            <w:pPr>
              <w:keepNext/>
              <w:keepLines/>
              <w:spacing w:after="0" w:line="240" w:lineRule="auto"/>
            </w:pPr>
            <w:r>
              <w:rPr>
                <w:sz w:val="18"/>
              </w:rPr>
              <w:t>996</w:t>
            </w:r>
          </w:p>
        </w:tc>
        <w:tc>
          <w:tcPr>
            <w:tcW w:w="1860" w:type="dxa"/>
            <w:tcMar>
              <w:top w:w="0" w:type="dxa"/>
              <w:bottom w:w="0" w:type="dxa"/>
            </w:tcMar>
            <w:vAlign w:val="center"/>
          </w:tcPr>
          <w:p w:rsidR="00FC1AE5" w:rsidRDefault="006D147C">
            <w:pPr>
              <w:keepNext/>
              <w:keepLines/>
              <w:spacing w:after="0" w:line="240" w:lineRule="auto"/>
              <w:jc w:val="right"/>
            </w:pPr>
            <w:r>
              <w:rPr>
                <w:sz w:val="18"/>
              </w:rPr>
              <w:t>193.135,76</w:t>
            </w:r>
          </w:p>
        </w:tc>
        <w:tc>
          <w:tcPr>
            <w:tcW w:w="1860" w:type="dxa"/>
            <w:tcMar>
              <w:top w:w="0" w:type="dxa"/>
              <w:bottom w:w="0" w:type="dxa"/>
            </w:tcMar>
            <w:vAlign w:val="center"/>
          </w:tcPr>
          <w:p w:rsidR="00FC1AE5" w:rsidRDefault="006D147C">
            <w:pPr>
              <w:keepNext/>
              <w:keepLines/>
              <w:spacing w:after="0" w:line="240" w:lineRule="auto"/>
              <w:jc w:val="right"/>
            </w:pPr>
            <w:r>
              <w:rPr>
                <w:sz w:val="18"/>
              </w:rPr>
              <w:t>202.484,00</w:t>
            </w:r>
          </w:p>
        </w:tc>
        <w:tc>
          <w:tcPr>
            <w:tcW w:w="700" w:type="dxa"/>
            <w:tcMar>
              <w:top w:w="0" w:type="dxa"/>
              <w:bottom w:w="0" w:type="dxa"/>
            </w:tcMar>
            <w:vAlign w:val="center"/>
          </w:tcPr>
          <w:p w:rsidR="00FC1AE5" w:rsidRDefault="006D147C">
            <w:pPr>
              <w:keepNext/>
              <w:keepLines/>
              <w:spacing w:after="0" w:line="240" w:lineRule="auto"/>
              <w:jc w:val="right"/>
            </w:pPr>
            <w:r>
              <w:rPr>
                <w:sz w:val="18"/>
              </w:rPr>
              <w:t>104,8</w:t>
            </w:r>
          </w:p>
        </w:tc>
      </w:tr>
    </w:tbl>
    <w:p w:rsidR="00FC1AE5" w:rsidRDefault="00FC1AE5">
      <w:pPr>
        <w:spacing w:after="0"/>
      </w:pPr>
    </w:p>
    <w:p w:rsidR="00FC1AE5" w:rsidRDefault="006D147C">
      <w:proofErr w:type="spellStart"/>
      <w:r>
        <w:t>Izvanbilančni</w:t>
      </w:r>
      <w:proofErr w:type="spellEnd"/>
      <w:r>
        <w:t xml:space="preserve"> zapisi obuhvaćaju dana jamstva koja su evidentirana sukladno računovodstvenim propisima za proračunske korisnike.</w:t>
      </w:r>
    </w:p>
    <w:p w:rsidR="00FC1AE5" w:rsidRDefault="006D147C">
      <w:r>
        <w:t xml:space="preserve">Na dan 31. prosinca 2025. godine dana jamstva evidentirana su u iznosu od 202.484 EUR. Zavod redovito prati obveze proizašle iz danih jamstava. </w:t>
      </w:r>
      <w:proofErr w:type="spellStart"/>
      <w:r>
        <w:t>Izvanbilančni</w:t>
      </w:r>
      <w:proofErr w:type="spellEnd"/>
      <w:r>
        <w:t xml:space="preserve"> zapisi vode se radi osiguranja transparentnosti i cjelovitog prikaza potencijalnih obveza, u skladu s načelom opreznosti i važećim računovodstvenim standardima za proračunsko računovodstvo.</w:t>
      </w:r>
    </w:p>
    <w:p w:rsidR="00FC1AE5" w:rsidRDefault="006D147C">
      <w:r>
        <w:t>Zavod nema sudskih sporova u tijeku.</w:t>
      </w:r>
    </w:p>
    <w:p w:rsidR="00FC1AE5" w:rsidRDefault="00FC1AE5"/>
    <w:p w:rsidR="00FC1AE5" w:rsidRDefault="006D147C">
      <w:pPr>
        <w:keepNext/>
        <w:spacing w:line="240" w:lineRule="auto"/>
        <w:jc w:val="center"/>
      </w:pPr>
      <w:r>
        <w:rPr>
          <w:b/>
          <w:sz w:val="28"/>
        </w:rPr>
        <w:t>Izvještaj o rashodima prema funkcijskoj klasifikaciji</w:t>
      </w:r>
    </w:p>
    <w:p w:rsidR="00FC1AE5" w:rsidRDefault="006D147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6D147C">
            <w:pPr>
              <w:keepNext/>
              <w:keepLines/>
              <w:spacing w:after="0" w:line="240" w:lineRule="auto"/>
            </w:pPr>
            <w:r>
              <w:rPr>
                <w:sz w:val="18"/>
              </w:rPr>
              <w:t>074</w:t>
            </w:r>
          </w:p>
        </w:tc>
        <w:tc>
          <w:tcPr>
            <w:tcW w:w="3180" w:type="dxa"/>
            <w:tcMar>
              <w:top w:w="0" w:type="dxa"/>
              <w:bottom w:w="0" w:type="dxa"/>
            </w:tcMar>
            <w:vAlign w:val="center"/>
          </w:tcPr>
          <w:p w:rsidR="00FC1AE5" w:rsidRDefault="006D147C">
            <w:pPr>
              <w:keepNext/>
              <w:keepLines/>
              <w:spacing w:after="0" w:line="240" w:lineRule="auto"/>
            </w:pPr>
            <w:r>
              <w:rPr>
                <w:sz w:val="18"/>
              </w:rPr>
              <w:t>Službe javnog zdravstva</w:t>
            </w:r>
          </w:p>
        </w:tc>
        <w:tc>
          <w:tcPr>
            <w:tcW w:w="700" w:type="dxa"/>
            <w:tcMar>
              <w:top w:w="0" w:type="dxa"/>
              <w:bottom w:w="0" w:type="dxa"/>
            </w:tcMar>
            <w:vAlign w:val="center"/>
          </w:tcPr>
          <w:p w:rsidR="00FC1AE5" w:rsidRDefault="006D147C">
            <w:pPr>
              <w:keepNext/>
              <w:keepLines/>
              <w:spacing w:after="0" w:line="240" w:lineRule="auto"/>
            </w:pPr>
            <w:r>
              <w:rPr>
                <w:sz w:val="18"/>
              </w:rPr>
              <w:t>074</w:t>
            </w:r>
          </w:p>
        </w:tc>
        <w:tc>
          <w:tcPr>
            <w:tcW w:w="1860" w:type="dxa"/>
            <w:tcMar>
              <w:top w:w="0" w:type="dxa"/>
              <w:bottom w:w="0" w:type="dxa"/>
            </w:tcMar>
            <w:vAlign w:val="center"/>
          </w:tcPr>
          <w:p w:rsidR="00FC1AE5" w:rsidRDefault="006D147C">
            <w:pPr>
              <w:keepNext/>
              <w:keepLines/>
              <w:spacing w:after="0" w:line="240" w:lineRule="auto"/>
              <w:jc w:val="right"/>
            </w:pPr>
            <w:r>
              <w:rPr>
                <w:sz w:val="18"/>
              </w:rPr>
              <w:t>1.703.285,44</w:t>
            </w:r>
          </w:p>
        </w:tc>
        <w:tc>
          <w:tcPr>
            <w:tcW w:w="1860" w:type="dxa"/>
            <w:tcMar>
              <w:top w:w="0" w:type="dxa"/>
              <w:bottom w:w="0" w:type="dxa"/>
            </w:tcMar>
            <w:vAlign w:val="center"/>
          </w:tcPr>
          <w:p w:rsidR="00FC1AE5" w:rsidRDefault="006D147C">
            <w:pPr>
              <w:keepNext/>
              <w:keepLines/>
              <w:spacing w:after="0" w:line="240" w:lineRule="auto"/>
              <w:jc w:val="right"/>
            </w:pPr>
            <w:r>
              <w:rPr>
                <w:sz w:val="18"/>
              </w:rPr>
              <w:t>1.959.356,55</w:t>
            </w:r>
          </w:p>
        </w:tc>
        <w:tc>
          <w:tcPr>
            <w:tcW w:w="700" w:type="dxa"/>
            <w:tcMar>
              <w:top w:w="0" w:type="dxa"/>
              <w:bottom w:w="0" w:type="dxa"/>
            </w:tcMar>
            <w:vAlign w:val="center"/>
          </w:tcPr>
          <w:p w:rsidR="00FC1AE5" w:rsidRDefault="006D147C">
            <w:pPr>
              <w:keepNext/>
              <w:keepLines/>
              <w:spacing w:after="0" w:line="240" w:lineRule="auto"/>
              <w:jc w:val="right"/>
            </w:pPr>
            <w:r>
              <w:rPr>
                <w:sz w:val="18"/>
              </w:rPr>
              <w:t>115,0</w:t>
            </w:r>
          </w:p>
        </w:tc>
      </w:tr>
    </w:tbl>
    <w:p w:rsidR="00FC1AE5" w:rsidRDefault="00FC1AE5">
      <w:pPr>
        <w:spacing w:after="0"/>
      </w:pPr>
    </w:p>
    <w:p w:rsidR="00FC1AE5" w:rsidRDefault="006D147C">
      <w:r>
        <w:lastRenderedPageBreak/>
        <w:t>Rashodi na  šifri 074 Službe javnog zdravstva iznose 1.959.356,55 EUR. U odnosu na prošlu godinu došlo je do povećanja rashoda u iznosu od 256.071,11 EUR. Porast je obrazložen kroz stavku Rashodi ovih bilješki.</w:t>
      </w:r>
    </w:p>
    <w:p w:rsidR="00FC1AE5" w:rsidRDefault="00FC1AE5"/>
    <w:p w:rsidR="00FC1AE5" w:rsidRDefault="006D147C">
      <w:pPr>
        <w:keepNext/>
        <w:spacing w:line="240" w:lineRule="auto"/>
        <w:jc w:val="center"/>
      </w:pPr>
      <w:r>
        <w:rPr>
          <w:b/>
          <w:sz w:val="28"/>
        </w:rPr>
        <w:t>Izvještaj o obvezama</w:t>
      </w:r>
    </w:p>
    <w:p w:rsidR="00FC1AE5" w:rsidRDefault="006D147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C1AE5">
        <w:trPr>
          <w:cantSplit/>
        </w:trPr>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C1AE5" w:rsidRDefault="006D147C">
            <w:pPr>
              <w:keepNext/>
              <w:keepLines/>
              <w:spacing w:after="0" w:line="240" w:lineRule="auto"/>
              <w:jc w:val="center"/>
            </w:pPr>
            <w:r>
              <w:rPr>
                <w:b/>
                <w:sz w:val="18"/>
              </w:rPr>
              <w:t>Indeks (%)</w:t>
            </w:r>
          </w:p>
        </w:tc>
      </w:tr>
      <w:tr w:rsidR="00FC1AE5">
        <w:trPr>
          <w:cantSplit/>
          <w:trHeight w:val="560"/>
        </w:trPr>
        <w:tc>
          <w:tcPr>
            <w:tcW w:w="700" w:type="dxa"/>
            <w:tcMar>
              <w:top w:w="0" w:type="dxa"/>
              <w:bottom w:w="0" w:type="dxa"/>
            </w:tcMar>
            <w:vAlign w:val="center"/>
          </w:tcPr>
          <w:p w:rsidR="00FC1AE5" w:rsidRDefault="00FC1AE5">
            <w:pPr>
              <w:keepNext/>
              <w:keepLines/>
              <w:spacing w:after="0" w:line="240" w:lineRule="auto"/>
            </w:pPr>
          </w:p>
        </w:tc>
        <w:tc>
          <w:tcPr>
            <w:tcW w:w="3180" w:type="dxa"/>
            <w:tcMar>
              <w:top w:w="0" w:type="dxa"/>
              <w:bottom w:w="0" w:type="dxa"/>
            </w:tcMar>
            <w:vAlign w:val="center"/>
          </w:tcPr>
          <w:p w:rsidR="00FC1AE5" w:rsidRDefault="006D147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C1AE5" w:rsidRDefault="006D147C">
            <w:pPr>
              <w:keepNext/>
              <w:keepLines/>
              <w:spacing w:after="0" w:line="240" w:lineRule="auto"/>
            </w:pPr>
            <w:r>
              <w:rPr>
                <w:sz w:val="18"/>
              </w:rPr>
              <w:t>V007</w:t>
            </w:r>
          </w:p>
        </w:tc>
        <w:tc>
          <w:tcPr>
            <w:tcW w:w="1860" w:type="dxa"/>
            <w:tcMar>
              <w:top w:w="0" w:type="dxa"/>
              <w:bottom w:w="0" w:type="dxa"/>
            </w:tcMar>
            <w:vAlign w:val="center"/>
          </w:tcPr>
          <w:p w:rsidR="00FC1AE5" w:rsidRDefault="006D147C">
            <w:pPr>
              <w:keepNext/>
              <w:keepLines/>
              <w:spacing w:after="0" w:line="240" w:lineRule="auto"/>
              <w:jc w:val="right"/>
            </w:pPr>
            <w:r>
              <w:rPr>
                <w:sz w:val="18"/>
              </w:rPr>
              <w:t>0,00</w:t>
            </w:r>
          </w:p>
        </w:tc>
        <w:tc>
          <w:tcPr>
            <w:tcW w:w="700" w:type="dxa"/>
            <w:tcMar>
              <w:top w:w="0" w:type="dxa"/>
              <w:bottom w:w="0" w:type="dxa"/>
            </w:tcMar>
            <w:vAlign w:val="center"/>
          </w:tcPr>
          <w:p w:rsidR="00FC1AE5" w:rsidRDefault="006D147C">
            <w:pPr>
              <w:keepNext/>
              <w:keepLines/>
              <w:spacing w:after="0" w:line="240" w:lineRule="auto"/>
              <w:jc w:val="right"/>
            </w:pPr>
            <w:r>
              <w:rPr>
                <w:sz w:val="18"/>
              </w:rPr>
              <w:t>-</w:t>
            </w:r>
          </w:p>
        </w:tc>
      </w:tr>
    </w:tbl>
    <w:p w:rsidR="00FC1AE5" w:rsidRDefault="00FC1AE5">
      <w:pPr>
        <w:spacing w:after="0"/>
      </w:pPr>
    </w:p>
    <w:p w:rsidR="00FC1AE5" w:rsidRDefault="006D147C">
      <w:r>
        <w:t>Ukupne obveze na 31.12.2025. godine iznose  163.290,01 EUR. Sve obveze se izvršavaju u zakonskim rokovima i nema neplaćenih dospjelih obveza. </w:t>
      </w:r>
    </w:p>
    <w:p w:rsidR="00FC1AE5" w:rsidRDefault="00FC1AE5"/>
    <w:p w:rsidR="001D16F8" w:rsidRDefault="001D16F8">
      <w:bookmarkStart w:id="0" w:name="_GoBack"/>
      <w:bookmarkEnd w:id="0"/>
    </w:p>
    <w:p w:rsidR="001D16F8" w:rsidRDefault="001D16F8"/>
    <w:p w:rsidR="001D16F8" w:rsidRPr="00C3046A" w:rsidRDefault="001D16F8" w:rsidP="001D16F8">
      <w:pPr>
        <w:rPr>
          <w:rFonts w:asciiTheme="minorHAnsi" w:eastAsiaTheme="minorEastAsia" w:hAnsiTheme="minorHAnsi" w:cstheme="minorHAnsi"/>
          <w:b/>
          <w:sz w:val="22"/>
          <w:szCs w:val="22"/>
        </w:rPr>
      </w:pPr>
      <w:r w:rsidRPr="00C3046A">
        <w:rPr>
          <w:rFonts w:asciiTheme="minorHAnsi" w:eastAsiaTheme="minorEastAsia" w:hAnsiTheme="minorHAnsi" w:cstheme="minorHAnsi"/>
          <w:b/>
          <w:sz w:val="22"/>
          <w:szCs w:val="22"/>
        </w:rPr>
        <w:t>Analizu sastavila:</w:t>
      </w:r>
    </w:p>
    <w:p w:rsidR="001D16F8" w:rsidRPr="00C3046A" w:rsidRDefault="001D16F8" w:rsidP="001D16F8">
      <w:pPr>
        <w:rPr>
          <w:rFonts w:asciiTheme="minorHAnsi" w:eastAsiaTheme="minorEastAsia" w:hAnsiTheme="minorHAnsi" w:cstheme="minorHAnsi"/>
          <w:bCs/>
          <w:sz w:val="22"/>
          <w:szCs w:val="22"/>
        </w:rPr>
      </w:pPr>
      <w:r w:rsidRPr="00C3046A">
        <w:rPr>
          <w:rFonts w:asciiTheme="minorHAnsi" w:eastAsiaTheme="minorEastAsia" w:hAnsiTheme="minorHAnsi" w:cstheme="minorHAnsi"/>
          <w:bCs/>
          <w:sz w:val="22"/>
          <w:szCs w:val="22"/>
        </w:rPr>
        <w:t xml:space="preserve">Anamarija Uzelac, </w:t>
      </w:r>
      <w:proofErr w:type="spellStart"/>
      <w:r w:rsidRPr="00C3046A">
        <w:rPr>
          <w:rFonts w:asciiTheme="minorHAnsi" w:eastAsiaTheme="minorEastAsia" w:hAnsiTheme="minorHAnsi" w:cstheme="minorHAnsi"/>
          <w:bCs/>
          <w:sz w:val="22"/>
          <w:szCs w:val="22"/>
        </w:rPr>
        <w:t>mag</w:t>
      </w:r>
      <w:proofErr w:type="spellEnd"/>
      <w:r w:rsidRPr="00C3046A">
        <w:rPr>
          <w:rFonts w:asciiTheme="minorHAnsi" w:eastAsiaTheme="minorEastAsia" w:hAnsiTheme="minorHAnsi" w:cstheme="minorHAnsi"/>
          <w:bCs/>
          <w:sz w:val="22"/>
          <w:szCs w:val="22"/>
        </w:rPr>
        <w:t>. oec.</w:t>
      </w:r>
    </w:p>
    <w:p w:rsidR="001D16F8" w:rsidRPr="00C3046A" w:rsidRDefault="001D16F8" w:rsidP="001D16F8">
      <w:pPr>
        <w:spacing w:after="120"/>
        <w:rPr>
          <w:rFonts w:eastAsiaTheme="minorEastAsia"/>
          <w:sz w:val="22"/>
          <w:szCs w:val="22"/>
        </w:rPr>
      </w:pPr>
    </w:p>
    <w:p w:rsidR="001D16F8" w:rsidRPr="00C3046A" w:rsidRDefault="001D16F8" w:rsidP="001D16F8">
      <w:pPr>
        <w:spacing w:after="120"/>
        <w:rPr>
          <w:rFonts w:eastAsiaTheme="minorEastAsia"/>
          <w:sz w:val="22"/>
          <w:szCs w:val="22"/>
        </w:rPr>
      </w:pPr>
    </w:p>
    <w:p w:rsidR="001D16F8" w:rsidRPr="00C3046A" w:rsidRDefault="001D16F8" w:rsidP="001D16F8">
      <w:pPr>
        <w:spacing w:after="120"/>
        <w:jc w:val="right"/>
        <w:rPr>
          <w:rFonts w:eastAsiaTheme="minorEastAsia"/>
          <w:sz w:val="22"/>
          <w:szCs w:val="22"/>
        </w:rPr>
      </w:pPr>
      <w:r w:rsidRPr="00C3046A">
        <w:rPr>
          <w:rFonts w:eastAsiaTheme="minorEastAsia"/>
          <w:sz w:val="22"/>
          <w:szCs w:val="22"/>
        </w:rPr>
        <w:t xml:space="preserve">                                                                                                    RAVNATELJICA:</w:t>
      </w:r>
    </w:p>
    <w:p w:rsidR="001D16F8" w:rsidRPr="00C3046A" w:rsidRDefault="001D16F8" w:rsidP="001D16F8">
      <w:pPr>
        <w:jc w:val="right"/>
        <w:rPr>
          <w:rFonts w:eastAsiaTheme="minorEastAsia"/>
          <w:sz w:val="22"/>
          <w:szCs w:val="22"/>
        </w:rPr>
      </w:pPr>
      <w:r w:rsidRPr="00C3046A">
        <w:rPr>
          <w:rFonts w:eastAsiaTheme="minorEastAsia"/>
          <w:sz w:val="22"/>
          <w:szCs w:val="22"/>
        </w:rPr>
        <w:t>Ružica Čanić, dr. med.,</w:t>
      </w:r>
    </w:p>
    <w:p w:rsidR="001D16F8" w:rsidRPr="00C3046A" w:rsidRDefault="001D16F8" w:rsidP="001D16F8">
      <w:pPr>
        <w:jc w:val="right"/>
        <w:rPr>
          <w:rFonts w:eastAsiaTheme="minorEastAsia"/>
          <w:sz w:val="22"/>
          <w:szCs w:val="22"/>
        </w:rPr>
      </w:pPr>
      <w:r w:rsidRPr="00C3046A">
        <w:rPr>
          <w:rFonts w:eastAsiaTheme="minorEastAsia"/>
          <w:sz w:val="22"/>
          <w:szCs w:val="22"/>
        </w:rPr>
        <w:t xml:space="preserve"> spec. školske medicine</w:t>
      </w:r>
    </w:p>
    <w:p w:rsidR="001D16F8" w:rsidRDefault="001D16F8"/>
    <w:sectPr w:rsidR="001D1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E5"/>
    <w:rsid w:val="000A29C5"/>
    <w:rsid w:val="001D16F8"/>
    <w:rsid w:val="006D147C"/>
    <w:rsid w:val="00893821"/>
    <w:rsid w:val="00FC1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2426</Words>
  <Characters>13834</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dc:creator>
  <cp:lastModifiedBy>Korisnik</cp:lastModifiedBy>
  <cp:revision>4</cp:revision>
  <cp:lastPrinted>2026-02-02T09:39:00Z</cp:lastPrinted>
  <dcterms:created xsi:type="dcterms:W3CDTF">2026-01-30T13:40:00Z</dcterms:created>
  <dcterms:modified xsi:type="dcterms:W3CDTF">2026-02-02T09:41:00Z</dcterms:modified>
</cp:coreProperties>
</file>